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051E90" w14:textId="63C2E4E1" w:rsidR="00B63021" w:rsidRDefault="00B63021" w:rsidP="00B63021">
      <w:pPr>
        <w:pStyle w:val="3GPPHeader"/>
        <w:spacing w:after="60"/>
        <w:rPr>
          <w:szCs w:val="24"/>
          <w:highlight w:val="yellow"/>
        </w:rPr>
      </w:pPr>
      <w:r>
        <w:t>3GPP TSG-RAN WG</w:t>
      </w:r>
      <w:r w:rsidR="003B7576">
        <w:t>2</w:t>
      </w:r>
      <w:r>
        <w:t xml:space="preserve"> Meeting </w:t>
      </w:r>
      <w:r>
        <w:rPr>
          <w:szCs w:val="24"/>
        </w:rPr>
        <w:t>#1</w:t>
      </w:r>
      <w:r w:rsidR="00952697">
        <w:rPr>
          <w:szCs w:val="24"/>
        </w:rPr>
        <w:t>1</w:t>
      </w:r>
      <w:r w:rsidR="00A96E45">
        <w:rPr>
          <w:szCs w:val="24"/>
        </w:rPr>
        <w:t>3</w:t>
      </w:r>
      <w:r>
        <w:rPr>
          <w:szCs w:val="24"/>
        </w:rPr>
        <w:t>-e</w:t>
      </w:r>
      <w:r>
        <w:rPr>
          <w:szCs w:val="24"/>
        </w:rPr>
        <w:tab/>
      </w:r>
      <w:bookmarkStart w:id="0" w:name="_GoBack"/>
      <w:r w:rsidR="000A2F3A">
        <w:t>R2-2100539</w:t>
      </w:r>
      <w:bookmarkEnd w:id="0"/>
    </w:p>
    <w:p w14:paraId="2A725917" w14:textId="0A38EA05" w:rsidR="00E90E49" w:rsidRPr="00CE0424" w:rsidRDefault="00B63021" w:rsidP="00B63021">
      <w:pPr>
        <w:pStyle w:val="3GPPHeader"/>
        <w:spacing w:after="60"/>
      </w:pPr>
      <w:r>
        <w:rPr>
          <w:szCs w:val="24"/>
        </w:rPr>
        <w:t xml:space="preserve">e-Meeting, </w:t>
      </w:r>
      <w:r w:rsidR="00231B1D">
        <w:rPr>
          <w:szCs w:val="24"/>
        </w:rPr>
        <w:t>January</w:t>
      </w:r>
      <w:r>
        <w:rPr>
          <w:szCs w:val="24"/>
        </w:rPr>
        <w:t xml:space="preserve"> </w:t>
      </w:r>
      <w:r w:rsidR="00231B1D">
        <w:rPr>
          <w:szCs w:val="24"/>
        </w:rPr>
        <w:t>25</w:t>
      </w:r>
      <w:r w:rsidR="00231B1D" w:rsidRPr="00231B1D">
        <w:rPr>
          <w:szCs w:val="24"/>
          <w:vertAlign w:val="superscript"/>
        </w:rPr>
        <w:t>th</w:t>
      </w:r>
      <w:r w:rsidR="00231B1D">
        <w:rPr>
          <w:szCs w:val="24"/>
        </w:rPr>
        <w:t xml:space="preserve"> </w:t>
      </w:r>
      <w:r>
        <w:rPr>
          <w:szCs w:val="24"/>
        </w:rPr>
        <w:t xml:space="preserve">– </w:t>
      </w:r>
      <w:r w:rsidR="00231B1D">
        <w:rPr>
          <w:szCs w:val="24"/>
        </w:rPr>
        <w:t>February</w:t>
      </w:r>
      <w:r w:rsidR="00817C23">
        <w:rPr>
          <w:szCs w:val="24"/>
        </w:rPr>
        <w:t xml:space="preserve"> 5</w:t>
      </w:r>
      <w:r w:rsidR="00817C23" w:rsidRPr="00817C23">
        <w:rPr>
          <w:szCs w:val="24"/>
          <w:vertAlign w:val="superscript"/>
        </w:rPr>
        <w:t>th</w:t>
      </w:r>
      <w:r>
        <w:rPr>
          <w:szCs w:val="24"/>
        </w:rPr>
        <w:t>, 202</w:t>
      </w:r>
      <w:r w:rsidR="00817C23">
        <w:rPr>
          <w:szCs w:val="24"/>
        </w:rPr>
        <w:t>1</w:t>
      </w:r>
    </w:p>
    <w:p w14:paraId="7FD0A2FD" w14:textId="77777777" w:rsidR="00E90E49" w:rsidRPr="00CE0424" w:rsidRDefault="00E90E49" w:rsidP="00357380">
      <w:pPr>
        <w:pStyle w:val="3GPPHeader"/>
      </w:pPr>
    </w:p>
    <w:p w14:paraId="0209C9BC" w14:textId="112D8737"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A95C16">
        <w:rPr>
          <w:sz w:val="22"/>
          <w:szCs w:val="22"/>
          <w:lang w:val="sv-FI"/>
        </w:rPr>
        <w:t>8.15.2.2</w:t>
      </w:r>
    </w:p>
    <w:p w14:paraId="4C8CF4A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692B630" w14:textId="31E11E3F" w:rsidR="00E90E49" w:rsidRPr="00CE0424" w:rsidRDefault="003D3C45" w:rsidP="00311702">
      <w:pPr>
        <w:pStyle w:val="3GPPHeader"/>
        <w:rPr>
          <w:sz w:val="22"/>
          <w:szCs w:val="22"/>
        </w:rPr>
      </w:pPr>
      <w:r>
        <w:rPr>
          <w:sz w:val="22"/>
          <w:szCs w:val="22"/>
        </w:rPr>
        <w:t>Title:</w:t>
      </w:r>
      <w:r w:rsidR="00E90E49" w:rsidRPr="00CE0424">
        <w:rPr>
          <w:sz w:val="22"/>
          <w:szCs w:val="22"/>
        </w:rPr>
        <w:tab/>
      </w:r>
      <w:r w:rsidR="0019095E">
        <w:rPr>
          <w:sz w:val="22"/>
          <w:szCs w:val="22"/>
        </w:rPr>
        <w:t xml:space="preserve">SL </w:t>
      </w:r>
      <w:r w:rsidR="00174D0A">
        <w:rPr>
          <w:sz w:val="22"/>
          <w:szCs w:val="22"/>
        </w:rPr>
        <w:t xml:space="preserve">DRX </w:t>
      </w:r>
      <w:r w:rsidR="00D43CE9">
        <w:rPr>
          <w:sz w:val="22"/>
          <w:szCs w:val="22"/>
        </w:rPr>
        <w:t xml:space="preserve">alignment </w:t>
      </w:r>
      <w:r w:rsidR="00E943B1">
        <w:rPr>
          <w:sz w:val="22"/>
          <w:szCs w:val="22"/>
        </w:rPr>
        <w:t>between</w:t>
      </w:r>
      <w:r w:rsidR="00E81EAD">
        <w:rPr>
          <w:sz w:val="22"/>
          <w:szCs w:val="22"/>
        </w:rPr>
        <w:t xml:space="preserve"> two</w:t>
      </w:r>
      <w:r w:rsidR="00D43CE9">
        <w:rPr>
          <w:sz w:val="22"/>
          <w:szCs w:val="22"/>
        </w:rPr>
        <w:t xml:space="preserve"> UEs</w:t>
      </w:r>
    </w:p>
    <w:p w14:paraId="55642228"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7D7F46BF" w14:textId="77777777" w:rsidR="00E90E49" w:rsidRPr="00CE0424" w:rsidRDefault="00E90E49" w:rsidP="00E90E49"/>
    <w:p w14:paraId="16CA1503" w14:textId="77777777" w:rsidR="00E90E49" w:rsidRPr="00CE0424" w:rsidRDefault="00230D18" w:rsidP="00CE0424">
      <w:pPr>
        <w:pStyle w:val="Heading1"/>
      </w:pPr>
      <w:r>
        <w:t>1</w:t>
      </w:r>
      <w:r>
        <w:tab/>
      </w:r>
      <w:r w:rsidR="00E90E49" w:rsidRPr="00CE0424">
        <w:t>Introduction</w:t>
      </w:r>
    </w:p>
    <w:p w14:paraId="29332E69" w14:textId="0A68F2AA" w:rsidR="00020720" w:rsidRPr="00E66F2C" w:rsidRDefault="00020720" w:rsidP="00CE0424">
      <w:pPr>
        <w:pStyle w:val="BodyText"/>
        <w:rPr>
          <w:rFonts w:cs="Arial"/>
        </w:rPr>
      </w:pPr>
      <w:r w:rsidRPr="00E66F2C">
        <w:rPr>
          <w:rFonts w:cs="Arial"/>
        </w:rPr>
        <w:t xml:space="preserve">In the </w:t>
      </w:r>
      <w:r w:rsidR="009062C2" w:rsidRPr="00E66F2C">
        <w:rPr>
          <w:rFonts w:cs="Arial"/>
        </w:rPr>
        <w:t xml:space="preserve">WID on NR </w:t>
      </w:r>
      <w:proofErr w:type="spellStart"/>
      <w:r w:rsidR="009062C2" w:rsidRPr="00E66F2C">
        <w:rPr>
          <w:rFonts w:cs="Arial"/>
        </w:rPr>
        <w:t>sidelink</w:t>
      </w:r>
      <w:proofErr w:type="spellEnd"/>
      <w:r w:rsidR="009062C2" w:rsidRPr="00E66F2C">
        <w:rPr>
          <w:rFonts w:cs="Arial"/>
        </w:rPr>
        <w:t xml:space="preserve"> enhancement</w:t>
      </w:r>
      <w:r w:rsidR="00D866EC" w:rsidRPr="00E66F2C">
        <w:rPr>
          <w:rFonts w:cs="Arial"/>
        </w:rPr>
        <w:t xml:space="preserve"> </w:t>
      </w:r>
      <w:r w:rsidR="00D866EC" w:rsidRPr="00E66F2C">
        <w:rPr>
          <w:rFonts w:cs="Arial"/>
        </w:rPr>
        <w:fldChar w:fldCharType="begin"/>
      </w:r>
      <w:r w:rsidR="00D866EC" w:rsidRPr="00E66F2C">
        <w:rPr>
          <w:rFonts w:cs="Arial"/>
        </w:rPr>
        <w:instrText xml:space="preserve"> REF _Ref52523679 \r \h </w:instrText>
      </w:r>
      <w:r w:rsidR="0083786A">
        <w:rPr>
          <w:rFonts w:cs="Arial"/>
        </w:rPr>
        <w:instrText xml:space="preserve"> \* MERGEFORMAT </w:instrText>
      </w:r>
      <w:r w:rsidR="00D866EC" w:rsidRPr="00E66F2C">
        <w:rPr>
          <w:rFonts w:cs="Arial"/>
        </w:rPr>
      </w:r>
      <w:r w:rsidR="00D866EC" w:rsidRPr="00E66F2C">
        <w:rPr>
          <w:rFonts w:cs="Arial"/>
        </w:rPr>
        <w:fldChar w:fldCharType="separate"/>
      </w:r>
      <w:r w:rsidR="004E090D" w:rsidRPr="00E66F2C">
        <w:rPr>
          <w:rFonts w:cs="Arial"/>
        </w:rPr>
        <w:t>[1]</w:t>
      </w:r>
      <w:r w:rsidR="00D866EC" w:rsidRPr="00E66F2C">
        <w:rPr>
          <w:rFonts w:cs="Arial"/>
        </w:rPr>
        <w:fldChar w:fldCharType="end"/>
      </w:r>
      <w:r w:rsidR="009062C2" w:rsidRPr="00E66F2C">
        <w:rPr>
          <w:rFonts w:cs="Arial"/>
        </w:rPr>
        <w:t xml:space="preserve">, </w:t>
      </w:r>
      <w:r w:rsidR="00C43484" w:rsidRPr="00E66F2C">
        <w:rPr>
          <w:rFonts w:cs="Arial"/>
        </w:rPr>
        <w:t xml:space="preserve">RAN2 is tasked to </w:t>
      </w:r>
      <w:r w:rsidR="00D56A66" w:rsidRPr="00E66F2C">
        <w:rPr>
          <w:rFonts w:cs="Arial"/>
        </w:rPr>
        <w:t>specify</w:t>
      </w:r>
      <w:r w:rsidR="00C43484" w:rsidRPr="00E66F2C">
        <w:rPr>
          <w:rFonts w:cs="Arial"/>
        </w:rPr>
        <w:t xml:space="preserve"> mechanisms to support Sidelink DRX</w:t>
      </w:r>
      <w:r w:rsidR="00371DCC" w:rsidRPr="00E66F2C">
        <w:rPr>
          <w:rFonts w:cs="Arial"/>
        </w:rPr>
        <w:t>:</w:t>
      </w:r>
    </w:p>
    <w:tbl>
      <w:tblPr>
        <w:tblStyle w:val="TableGrid"/>
        <w:tblW w:w="0" w:type="auto"/>
        <w:tblLook w:val="04A0" w:firstRow="1" w:lastRow="0" w:firstColumn="1" w:lastColumn="0" w:noHBand="0" w:noVBand="1"/>
      </w:tblPr>
      <w:tblGrid>
        <w:gridCol w:w="9629"/>
      </w:tblGrid>
      <w:tr w:rsidR="00000D8B" w:rsidRPr="00E66F2C" w14:paraId="2CE751DF" w14:textId="77777777" w:rsidTr="00000D8B">
        <w:tc>
          <w:tcPr>
            <w:tcW w:w="9629" w:type="dxa"/>
          </w:tcPr>
          <w:p w14:paraId="413C9228" w14:textId="77777777" w:rsidR="00000D8B" w:rsidRPr="00E66F2C" w:rsidRDefault="00000D8B" w:rsidP="00000D8B">
            <w:pPr>
              <w:rPr>
                <w:rFonts w:ascii="Arial" w:hAnsi="Arial" w:cs="Arial"/>
                <w:sz w:val="20"/>
                <w:szCs w:val="20"/>
                <w:lang w:eastAsia="ko-KR"/>
              </w:rPr>
            </w:pPr>
            <w:r w:rsidRPr="00E66F2C">
              <w:rPr>
                <w:rFonts w:ascii="Arial" w:hAnsi="Arial" w:cs="Arial"/>
                <w:sz w:val="20"/>
                <w:szCs w:val="20"/>
                <w:lang w:eastAsia="ko-KR"/>
              </w:rPr>
              <w:t>Sidelink DRX for broadcast, groupcast, and unicast [RAN2]</w:t>
            </w:r>
          </w:p>
          <w:p w14:paraId="4BBFE092" w14:textId="77777777" w:rsidR="00000D8B" w:rsidRPr="00E66F2C" w:rsidRDefault="00000D8B" w:rsidP="00000D8B">
            <w:pPr>
              <w:numPr>
                <w:ilvl w:val="0"/>
                <w:numId w:val="23"/>
              </w:numPr>
              <w:rPr>
                <w:rFonts w:ascii="Arial" w:hAnsi="Arial" w:cs="Arial"/>
                <w:sz w:val="20"/>
                <w:szCs w:val="20"/>
                <w:lang w:eastAsia="ko-KR"/>
              </w:rPr>
            </w:pPr>
            <w:r w:rsidRPr="00E66F2C">
              <w:rPr>
                <w:rFonts w:ascii="Arial" w:hAnsi="Arial" w:cs="Arial"/>
                <w:sz w:val="20"/>
                <w:szCs w:val="20"/>
                <w:lang w:eastAsia="ko-KR"/>
              </w:rPr>
              <w:t>Define on- and off-durations in sidelink and specify the corresponding UE procedure</w:t>
            </w:r>
          </w:p>
          <w:p w14:paraId="1B172B4A" w14:textId="77777777" w:rsidR="00000D8B" w:rsidRPr="00E66F2C" w:rsidRDefault="00000D8B" w:rsidP="00000D8B">
            <w:pPr>
              <w:numPr>
                <w:ilvl w:val="0"/>
                <w:numId w:val="23"/>
              </w:numPr>
              <w:rPr>
                <w:rFonts w:ascii="Arial" w:hAnsi="Arial" w:cs="Arial"/>
                <w:sz w:val="20"/>
                <w:szCs w:val="20"/>
                <w:lang w:eastAsia="ko-KR"/>
              </w:rPr>
            </w:pPr>
            <w:r w:rsidRPr="00E66F2C">
              <w:rPr>
                <w:rFonts w:ascii="Arial" w:hAnsi="Arial" w:cs="Arial"/>
                <w:sz w:val="20"/>
                <w:szCs w:val="20"/>
                <w:lang w:eastAsia="ko-KR"/>
              </w:rPr>
              <w:t>Specify mechanism aiming to align sidelink DRX wake-up time among the UEs communicating with each other</w:t>
            </w:r>
          </w:p>
          <w:p w14:paraId="254A4289" w14:textId="34EC25B7" w:rsidR="00000D8B" w:rsidRPr="00E66F2C" w:rsidRDefault="00000D8B" w:rsidP="00371DCC">
            <w:pPr>
              <w:numPr>
                <w:ilvl w:val="0"/>
                <w:numId w:val="23"/>
              </w:numPr>
              <w:rPr>
                <w:rFonts w:ascii="Arial" w:hAnsi="Arial" w:cs="Arial"/>
              </w:rPr>
            </w:pPr>
            <w:r w:rsidRPr="00E66F2C">
              <w:rPr>
                <w:rFonts w:ascii="Arial" w:hAnsi="Arial" w:cs="Arial"/>
                <w:sz w:val="20"/>
                <w:szCs w:val="20"/>
                <w:lang w:eastAsia="ko-KR"/>
              </w:rPr>
              <w:t>Specify mechanism aiming to align sidelink DRX wake-up time with Uu DRX wake-up time in an in-coverage UE</w:t>
            </w:r>
            <w:r w:rsidR="00B53CF0" w:rsidRPr="00E66F2C">
              <w:rPr>
                <w:rFonts w:ascii="Arial" w:hAnsi="Arial" w:cs="Arial"/>
                <w:sz w:val="20"/>
                <w:szCs w:val="20"/>
                <w:lang w:eastAsia="ko-KR"/>
              </w:rPr>
              <w:t>.</w:t>
            </w:r>
          </w:p>
        </w:tc>
      </w:tr>
    </w:tbl>
    <w:p w14:paraId="631044E0" w14:textId="1B93D20E" w:rsidR="00000D8B" w:rsidRPr="00E66F2C" w:rsidRDefault="00000D8B" w:rsidP="00CE0424">
      <w:pPr>
        <w:pStyle w:val="BodyText"/>
        <w:rPr>
          <w:rFonts w:cs="Arial"/>
        </w:rPr>
      </w:pPr>
    </w:p>
    <w:p w14:paraId="14C4098F" w14:textId="33BA8643" w:rsidR="0054194D" w:rsidRDefault="0054194D" w:rsidP="00CE0424">
      <w:pPr>
        <w:pStyle w:val="BodyText"/>
        <w:rPr>
          <w:rFonts w:cs="Arial"/>
        </w:rPr>
      </w:pPr>
      <w:r>
        <w:rPr>
          <w:rFonts w:cs="Arial"/>
        </w:rPr>
        <w:t xml:space="preserve">Wherein, </w:t>
      </w:r>
      <w:r w:rsidR="001F7100">
        <w:rPr>
          <w:rFonts w:cs="Arial"/>
        </w:rPr>
        <w:t xml:space="preserve">the second objective, i.e., alignment of SL DRX among UEs is one important </w:t>
      </w:r>
      <w:r w:rsidR="003C7640">
        <w:rPr>
          <w:rFonts w:cs="Arial"/>
        </w:rPr>
        <w:t>aspect</w:t>
      </w:r>
      <w:r w:rsidR="001F7100">
        <w:rPr>
          <w:rFonts w:cs="Arial"/>
        </w:rPr>
        <w:t>.</w:t>
      </w:r>
    </w:p>
    <w:p w14:paraId="6194BEDF" w14:textId="3B7A91C3" w:rsidR="00477768" w:rsidRPr="00CE0424" w:rsidRDefault="00E7033A" w:rsidP="00CE0424">
      <w:pPr>
        <w:pStyle w:val="BodyText"/>
      </w:pPr>
      <w:r w:rsidRPr="00E66F2C">
        <w:rPr>
          <w:rFonts w:cs="Arial"/>
        </w:rPr>
        <w:t xml:space="preserve">In RAN2#112-e, </w:t>
      </w:r>
      <w:r w:rsidR="001F7100">
        <w:rPr>
          <w:rFonts w:cs="Arial"/>
          <w:noProof/>
        </w:rPr>
        <w:t>companies have started to discuss the two options, i.e., TX UE centric or RX UE centric. However, no agreements have been made yet.</w:t>
      </w:r>
      <w:r w:rsidR="001F7100">
        <w:rPr>
          <w:rFonts w:cs="Arial"/>
        </w:rPr>
        <w:t xml:space="preserve"> </w:t>
      </w:r>
      <w:r w:rsidR="00236934" w:rsidRPr="00E66F2C">
        <w:rPr>
          <w:rFonts w:cs="Arial"/>
        </w:rPr>
        <w:t xml:space="preserve">In </w:t>
      </w:r>
      <w:r w:rsidR="00021BE5" w:rsidRPr="00E66F2C">
        <w:rPr>
          <w:rFonts w:cs="Arial"/>
        </w:rPr>
        <w:t>t</w:t>
      </w:r>
      <w:r w:rsidR="002D6BD3" w:rsidRPr="00E66F2C">
        <w:rPr>
          <w:rFonts w:cs="Arial"/>
        </w:rPr>
        <w:t>his contribution</w:t>
      </w:r>
      <w:r w:rsidR="00021BE5" w:rsidRPr="00E66F2C">
        <w:rPr>
          <w:rFonts w:cs="Arial"/>
        </w:rPr>
        <w:t xml:space="preserve">, we </w:t>
      </w:r>
      <w:r w:rsidR="001F7100">
        <w:rPr>
          <w:rFonts w:cs="Arial"/>
        </w:rPr>
        <w:t xml:space="preserve">further </w:t>
      </w:r>
      <w:r w:rsidR="004557BD" w:rsidRPr="00E66F2C">
        <w:rPr>
          <w:rFonts w:cs="Arial"/>
        </w:rPr>
        <w:t>present our view</w:t>
      </w:r>
      <w:r w:rsidR="001F7100">
        <w:rPr>
          <w:rFonts w:cs="Arial"/>
        </w:rPr>
        <w:t>s</w:t>
      </w:r>
      <w:r w:rsidR="00864D4B">
        <w:t>.</w:t>
      </w:r>
    </w:p>
    <w:p w14:paraId="708435D6" w14:textId="6B677CFA" w:rsidR="003946EB" w:rsidRPr="00CE0424" w:rsidRDefault="00230D18" w:rsidP="003946EB">
      <w:pPr>
        <w:pStyle w:val="Heading1"/>
      </w:pPr>
      <w:bookmarkStart w:id="1" w:name="_Ref178064866"/>
      <w:r>
        <w:t>2</w:t>
      </w:r>
      <w:r>
        <w:tab/>
      </w:r>
      <w:bookmarkEnd w:id="1"/>
      <w:r w:rsidR="003946EB">
        <w:t xml:space="preserve">Alignment </w:t>
      </w:r>
      <w:r w:rsidR="00F06ABE">
        <w:t>between UEs</w:t>
      </w:r>
    </w:p>
    <w:p w14:paraId="3B424F0B" w14:textId="4671C84B" w:rsidR="00207A00" w:rsidRDefault="00207A00" w:rsidP="00207A00">
      <w:pPr>
        <w:pStyle w:val="BodyText"/>
      </w:pPr>
      <w:r>
        <w:t>For a pair of UEs in a same communication, DRX alignment</w:t>
      </w:r>
      <w:r w:rsidR="007824AE">
        <w:t xml:space="preserve"> between </w:t>
      </w:r>
      <w:r w:rsidR="0016485D">
        <w:t xml:space="preserve">two </w:t>
      </w:r>
      <w:r w:rsidR="007824AE">
        <w:t>UEs</w:t>
      </w:r>
      <w:r>
        <w:t xml:space="preserve"> makes sure that the two UEs are in Active state in the same time duration and communicate to each other. This alleviates the need for a UE to turn on its circuits outside its DRX Active time to be able to send messages to the other UE. Additionally, the communication between two UEs is bidirectional in many cases, making a perfect sense for DRX alignment. In case of groupcast and broadcast, aligning active time also means all intended receivers of a message to be active at the same time to receive the message sent from a transmitter UE.</w:t>
      </w:r>
    </w:p>
    <w:p w14:paraId="7AC6A988" w14:textId="75C1DECD" w:rsidR="00486C84" w:rsidRDefault="00486C84" w:rsidP="00207A00">
      <w:pPr>
        <w:pStyle w:val="BodyText"/>
      </w:pPr>
      <w:r>
        <w:t xml:space="preserve">At RAN2#112-e, </w:t>
      </w:r>
      <w:r w:rsidR="005D3FA3">
        <w:t xml:space="preserve">for unicast, </w:t>
      </w:r>
      <w:r>
        <w:t xml:space="preserve">companies have discussed the two options, i.e., TX UE centric or either RX UE centric to some extent. </w:t>
      </w:r>
    </w:p>
    <w:p w14:paraId="298D468D" w14:textId="419777A0" w:rsidR="00EB1194" w:rsidRDefault="00EB1194" w:rsidP="00207A00">
      <w:pPr>
        <w:pStyle w:val="BodyText"/>
      </w:pPr>
      <w:r>
        <w:t>Before continuing discussions on the options, we would like to first clarify our views on the term “TX UE” and the term “RX UE”</w:t>
      </w:r>
      <w:r w:rsidR="00AB71B4">
        <w:t>.</w:t>
      </w:r>
    </w:p>
    <w:p w14:paraId="3F1CBCF1" w14:textId="3893F816" w:rsidR="00EB1194" w:rsidRDefault="00AB71B4" w:rsidP="00207A00">
      <w:pPr>
        <w:pStyle w:val="BodyText"/>
      </w:pPr>
      <w:r>
        <w:t>For a PC5 unicast link</w:t>
      </w:r>
      <w:r w:rsidR="00A32171">
        <w:t xml:space="preserve"> comprising two UEs</w:t>
      </w:r>
      <w:r>
        <w:t xml:space="preserve">, </w:t>
      </w:r>
      <w:r w:rsidR="00A32171">
        <w:t>t</w:t>
      </w:r>
      <w:r w:rsidR="00EB1194">
        <w:t xml:space="preserve">he term “TX UE” stands for </w:t>
      </w:r>
      <w:r>
        <w:t>the</w:t>
      </w:r>
      <w:r w:rsidR="00EB1194">
        <w:t xml:space="preserve"> UE which initiates a PC5 link/SLRB establishment towards </w:t>
      </w:r>
      <w:r w:rsidR="00BC111A">
        <w:t>the other</w:t>
      </w:r>
      <w:r w:rsidR="00EB1194">
        <w:t xml:space="preserve"> UE</w:t>
      </w:r>
      <w:r w:rsidR="00A32171">
        <w:t xml:space="preserve">, while the </w:t>
      </w:r>
      <w:r w:rsidR="00EB1194">
        <w:t xml:space="preserve">other UE </w:t>
      </w:r>
      <w:r w:rsidR="00A32171">
        <w:t>which receives the</w:t>
      </w:r>
      <w:r w:rsidR="00A32171">
        <w:t xml:space="preserve"> PC5 link/SLRB establishment</w:t>
      </w:r>
      <w:r w:rsidR="00A32171">
        <w:t xml:space="preserve"> </w:t>
      </w:r>
      <w:r w:rsidR="00EB1194">
        <w:t>is referred to as “RX UE”.</w:t>
      </w:r>
      <w:r w:rsidR="00A32171">
        <w:t xml:space="preserve"> Based on such definition, role of “TX UE” or “RX UE” will not change for a PC5 link/SL RB regardless which UE initiates a transmission on the link/SL RB.</w:t>
      </w:r>
    </w:p>
    <w:p w14:paraId="1EB7F1C0" w14:textId="35E91886" w:rsidR="00D01A6C" w:rsidRDefault="002E53B4" w:rsidP="00D01A6C">
      <w:pPr>
        <w:pStyle w:val="Proposal"/>
      </w:pPr>
      <w:bookmarkStart w:id="2" w:name="_Toc61528821"/>
      <w:r>
        <w:t>For unicast</w:t>
      </w:r>
      <w:r w:rsidR="00D01A6C">
        <w:t xml:space="preserve">, the term “TX UE” stands for the UE which initiates a PC5 link/SLRB establishment towards </w:t>
      </w:r>
      <w:r w:rsidR="00AB25F0">
        <w:t>the other</w:t>
      </w:r>
      <w:r w:rsidR="00D01A6C">
        <w:t xml:space="preserve"> UE, while the other UE which receives the PC5 link/SLRB establishment is referred to as “RX UE”.</w:t>
      </w:r>
      <w:bookmarkEnd w:id="2"/>
    </w:p>
    <w:p w14:paraId="7B1F1D76" w14:textId="77777777" w:rsidR="00D01A6C" w:rsidRDefault="00D01A6C" w:rsidP="00207A00">
      <w:pPr>
        <w:pStyle w:val="BodyText"/>
      </w:pPr>
    </w:p>
    <w:p w14:paraId="1AAE6A55" w14:textId="2A50805D" w:rsidR="003D0DA2" w:rsidRDefault="003D0DA2" w:rsidP="00207A00">
      <w:pPr>
        <w:pStyle w:val="BodyText"/>
      </w:pPr>
      <w:r>
        <w:t xml:space="preserve">For TX UE centric option, </w:t>
      </w:r>
      <w:r w:rsidR="0079019F">
        <w:t xml:space="preserve">a </w:t>
      </w:r>
      <w:r w:rsidR="00EC7D85">
        <w:t xml:space="preserve">TX UE (or its serving gNB in case </w:t>
      </w:r>
      <w:r w:rsidR="0079019F">
        <w:t xml:space="preserve">the </w:t>
      </w:r>
      <w:r w:rsidR="00EC7D85">
        <w:t xml:space="preserve">TX UE is in coverage) sends a desired SL DRX configuration to </w:t>
      </w:r>
      <w:r w:rsidR="0079019F">
        <w:t xml:space="preserve">a </w:t>
      </w:r>
      <w:r w:rsidR="00EC7D85">
        <w:t xml:space="preserve">RX UE. </w:t>
      </w:r>
      <w:r w:rsidR="0079019F">
        <w:t xml:space="preserve">The </w:t>
      </w:r>
      <w:r w:rsidR="00EC7D85">
        <w:t>RX UE follows the received SL DRX configuration.</w:t>
      </w:r>
    </w:p>
    <w:p w14:paraId="65FB89DE" w14:textId="4B2A5626" w:rsidR="00EC7D85" w:rsidRDefault="00EC7D85" w:rsidP="00207A00">
      <w:pPr>
        <w:pStyle w:val="BodyText"/>
      </w:pPr>
      <w:r>
        <w:t xml:space="preserve">For RX UE centric option, </w:t>
      </w:r>
      <w:r w:rsidR="0079019F">
        <w:t xml:space="preserve">a </w:t>
      </w:r>
      <w:r w:rsidR="00E20ED3">
        <w:t xml:space="preserve">RX UE informs </w:t>
      </w:r>
      <w:r w:rsidR="0079019F">
        <w:t xml:space="preserve">a </w:t>
      </w:r>
      <w:r w:rsidR="00E20ED3">
        <w:t xml:space="preserve">TX UE of its DRX configuration. </w:t>
      </w:r>
      <w:r w:rsidR="0079019F">
        <w:t xml:space="preserve">The </w:t>
      </w:r>
      <w:r w:rsidR="00E20ED3">
        <w:t xml:space="preserve">TX UE follows the received DRX configuration from </w:t>
      </w:r>
      <w:r w:rsidR="0079019F">
        <w:t xml:space="preserve">the </w:t>
      </w:r>
      <w:r w:rsidR="003308B0">
        <w:t>RX UE and</w:t>
      </w:r>
      <w:r w:rsidR="00E20ED3">
        <w:t xml:space="preserve"> transmits data to </w:t>
      </w:r>
      <w:r w:rsidR="0079019F">
        <w:t xml:space="preserve">the </w:t>
      </w:r>
      <w:r w:rsidR="00E20ED3">
        <w:t xml:space="preserve">RX UE only when </w:t>
      </w:r>
      <w:r w:rsidR="0079019F">
        <w:t xml:space="preserve">the </w:t>
      </w:r>
      <w:r w:rsidR="00E20ED3">
        <w:t>RX UE is in active.</w:t>
      </w:r>
    </w:p>
    <w:p w14:paraId="403A2932" w14:textId="6DB92964" w:rsidR="00E20ED3" w:rsidRDefault="00E20ED3" w:rsidP="00207A00">
      <w:pPr>
        <w:pStyle w:val="BodyText"/>
      </w:pPr>
      <w:r>
        <w:t xml:space="preserve">TX UE </w:t>
      </w:r>
      <w:r w:rsidR="00202684">
        <w:t xml:space="preserve">centric </w:t>
      </w:r>
      <w:r w:rsidR="003308B0">
        <w:t xml:space="preserve">option </w:t>
      </w:r>
      <w:r>
        <w:t xml:space="preserve">has the benefit that it is aligned with Rel-16 signalling </w:t>
      </w:r>
      <w:r w:rsidR="006C27AB">
        <w:t>framework</w:t>
      </w:r>
      <w:r>
        <w:t xml:space="preserve">. However, it has the drawback that </w:t>
      </w:r>
      <w:r w:rsidR="00642EAC">
        <w:t xml:space="preserve">the </w:t>
      </w:r>
      <w:r>
        <w:t>RX UE may have to always keep in active time by following instructions from all TX UEs, and therefore have no power saving especially when</w:t>
      </w:r>
      <w:r w:rsidR="003706E8">
        <w:t xml:space="preserve"> the </w:t>
      </w:r>
      <w:r>
        <w:t xml:space="preserve">RX UE is connected to multiple TX UEs. </w:t>
      </w:r>
    </w:p>
    <w:p w14:paraId="75F2C462" w14:textId="742C0A02" w:rsidR="00E20ED3" w:rsidRDefault="00202684" w:rsidP="00207A00">
      <w:pPr>
        <w:pStyle w:val="BodyText"/>
      </w:pPr>
      <w:r>
        <w:t>Meanwhile</w:t>
      </w:r>
      <w:r w:rsidR="00E20ED3">
        <w:t xml:space="preserve"> RX UE </w:t>
      </w:r>
      <w:r>
        <w:t xml:space="preserve">centric </w:t>
      </w:r>
      <w:r w:rsidR="00E20ED3">
        <w:t xml:space="preserve">option can achieve </w:t>
      </w:r>
      <w:r w:rsidR="0079019F">
        <w:t xml:space="preserve">better power saving for </w:t>
      </w:r>
      <w:r>
        <w:t xml:space="preserve">the </w:t>
      </w:r>
      <w:r w:rsidR="0079019F">
        <w:t>RX</w:t>
      </w:r>
      <w:r>
        <w:t xml:space="preserve"> UE. However, RX UE centric option would require bigger spec changes than TX UE centric option. In addition, longer delay may be caused for data transfer at the TX UE, since the TX UE may not be able to transmit immediately to the RX UE when there is data available. </w:t>
      </w:r>
    </w:p>
    <w:p w14:paraId="01D88478" w14:textId="3A644267" w:rsidR="000B674E" w:rsidRDefault="00207A00" w:rsidP="00207A00">
      <w:pPr>
        <w:pStyle w:val="BodyText"/>
      </w:pPr>
      <w:r>
        <w:t>In our views,</w:t>
      </w:r>
      <w:r w:rsidR="000B674E">
        <w:t xml:space="preserve"> TX UE centric option </w:t>
      </w:r>
      <w:r w:rsidR="00A870EA">
        <w:t xml:space="preserve">shall </w:t>
      </w:r>
      <w:r w:rsidR="000B674E">
        <w:t xml:space="preserve">be adopted considering that spec changes need to be limited for Rel-17 due to limited work time. </w:t>
      </w:r>
    </w:p>
    <w:p w14:paraId="380195A1" w14:textId="3354455B" w:rsidR="000B674E" w:rsidRDefault="005D3FA3" w:rsidP="000B674E">
      <w:pPr>
        <w:pStyle w:val="Proposal"/>
      </w:pPr>
      <w:bookmarkStart w:id="3" w:name="_Toc61528822"/>
      <w:r>
        <w:t xml:space="preserve">For unicast, </w:t>
      </w:r>
      <w:r w:rsidR="000B674E">
        <w:t xml:space="preserve">TX UE centric option </w:t>
      </w:r>
      <w:r w:rsidR="00A870EA">
        <w:t xml:space="preserve">shall </w:t>
      </w:r>
      <w:r w:rsidR="000B674E">
        <w:t xml:space="preserve">be adopted </w:t>
      </w:r>
      <w:r w:rsidR="0079553D">
        <w:t xml:space="preserve">as the baseline </w:t>
      </w:r>
      <w:r w:rsidR="000B674E">
        <w:t>for SL DRX alignment between UEs.</w:t>
      </w:r>
      <w:bookmarkEnd w:id="3"/>
      <w:r w:rsidR="000B674E">
        <w:t xml:space="preserve"> </w:t>
      </w:r>
    </w:p>
    <w:p w14:paraId="6E3CB5B2" w14:textId="25423E05" w:rsidR="00640F7F" w:rsidRDefault="000B674E" w:rsidP="00640F7F">
      <w:pPr>
        <w:pStyle w:val="BodyText"/>
      </w:pPr>
      <w:r>
        <w:t xml:space="preserve">In addition, </w:t>
      </w:r>
      <w:r w:rsidR="006A1C84">
        <w:t xml:space="preserve">it is beneficial to allow </w:t>
      </w:r>
      <w:r w:rsidR="00640F7F">
        <w:t xml:space="preserve">TX UE and </w:t>
      </w:r>
      <w:r w:rsidR="006A1C84">
        <w:t xml:space="preserve">RX UE to </w:t>
      </w:r>
      <w:r w:rsidR="00640F7F">
        <w:t xml:space="preserve">negotiate between each other in the procedure. In our views, both TX UE and RX are equally positioned in the procedure. A RX UE is allowed to </w:t>
      </w:r>
      <w:r w:rsidR="006A1C84">
        <w:t xml:space="preserve">accept or reject a recommended DRX configuration by a TX UE. </w:t>
      </w:r>
      <w:r w:rsidR="00640F7F">
        <w:t xml:space="preserve"> In this way, the drawback of TX UE centric option, i.e., RX UE may lose its power saving by compulsorily following instructions from TX UEs can be mitigated.</w:t>
      </w:r>
    </w:p>
    <w:p w14:paraId="25BB345B" w14:textId="7951F9AA" w:rsidR="00640F7F" w:rsidRDefault="00C30D8D" w:rsidP="00640F7F">
      <w:pPr>
        <w:pStyle w:val="Proposal"/>
      </w:pPr>
      <w:bookmarkStart w:id="4" w:name="_Toc61528823"/>
      <w:r>
        <w:t>For unicast, i</w:t>
      </w:r>
      <w:r w:rsidR="00640F7F">
        <w:t>ntroduce</w:t>
      </w:r>
      <w:r w:rsidR="00E83DC1">
        <w:t xml:space="preserve"> a</w:t>
      </w:r>
      <w:r w:rsidR="00640F7F">
        <w:t xml:space="preserve"> negotiation mechanism on top of TX UE centric option.</w:t>
      </w:r>
      <w:bookmarkEnd w:id="4"/>
      <w:r w:rsidR="00640F7F">
        <w:t xml:space="preserve"> </w:t>
      </w:r>
    </w:p>
    <w:p w14:paraId="1EACCE23" w14:textId="4646EF0A" w:rsidR="00567F87" w:rsidRDefault="000E363F" w:rsidP="00567F87">
      <w:pPr>
        <w:pStyle w:val="BodyText"/>
      </w:pPr>
      <w:r>
        <w:t xml:space="preserve">To simplify potential design efforts, the negotiation may be a two-step process. </w:t>
      </w:r>
      <w:r w:rsidR="00567F87">
        <w:t>In this way, RX UE can only simplify indicate the decision (i.e., acceptance or rejection)</w:t>
      </w:r>
      <w:r w:rsidR="00EC2580">
        <w:t xml:space="preserve"> after reception of a suggested SL DRX configuration</w:t>
      </w:r>
      <w:r w:rsidR="00567F87">
        <w:t>.</w:t>
      </w:r>
      <w:r w:rsidR="00567F87">
        <w:t xml:space="preserve"> </w:t>
      </w:r>
      <w:r w:rsidR="00567F87">
        <w:t xml:space="preserve">It is also possible to introduce a more complex process such as a three-step or four-step process. In this way, RX UE can indicate more information/choices in the response message.  The UE pair is therefore able to perform further negotiation and make compromise. RAN2 can further study if a more complex negotiation procedure needs to be designed. </w:t>
      </w:r>
    </w:p>
    <w:p w14:paraId="2FA1EBDF" w14:textId="77777777" w:rsidR="00567F87" w:rsidRDefault="00567F87" w:rsidP="00567F87">
      <w:pPr>
        <w:pStyle w:val="Proposal"/>
      </w:pPr>
      <w:bookmarkStart w:id="5" w:name="_Toc61528824"/>
      <w:r>
        <w:t>For unicast, a two-step negotiation process</w:t>
      </w:r>
      <w:r>
        <w:t xml:space="preserve"> (i.e., RX UE simply accepts or rejects TX UE’s suggestion)</w:t>
      </w:r>
      <w:r>
        <w:t xml:space="preserve"> should be adopted as </w:t>
      </w:r>
      <w:r>
        <w:t>the</w:t>
      </w:r>
      <w:r>
        <w:t xml:space="preserve"> baseline.</w:t>
      </w:r>
      <w:bookmarkEnd w:id="5"/>
      <w:r>
        <w:t xml:space="preserve"> </w:t>
      </w:r>
    </w:p>
    <w:p w14:paraId="666CDD3E" w14:textId="3C667ACA" w:rsidR="00567F87" w:rsidRDefault="00567F87" w:rsidP="00567F87">
      <w:pPr>
        <w:pStyle w:val="Proposal"/>
      </w:pPr>
      <w:bookmarkStart w:id="6" w:name="_Toc61528825"/>
      <w:r>
        <w:t>For unicast, i</w:t>
      </w:r>
      <w:r>
        <w:t>t is FFS on the necessity of a more complex negotiation procedure such as a three-step or four-step process</w:t>
      </w:r>
      <w:r w:rsidR="00702330">
        <w:t xml:space="preserve"> (i.e., </w:t>
      </w:r>
      <w:r w:rsidR="00702330">
        <w:t>RX UE can indicate more information/choices in the response messag</w:t>
      </w:r>
      <w:r w:rsidR="00702330">
        <w:t>e for further negotiation)</w:t>
      </w:r>
      <w:r>
        <w:t>.</w:t>
      </w:r>
      <w:bookmarkEnd w:id="6"/>
    </w:p>
    <w:p w14:paraId="26C996D9" w14:textId="77777777" w:rsidR="00567F87" w:rsidRDefault="00567F87" w:rsidP="00640F7F">
      <w:pPr>
        <w:pStyle w:val="BodyText"/>
      </w:pPr>
    </w:p>
    <w:p w14:paraId="5DB32CFB" w14:textId="3F284642" w:rsidR="00640F7F" w:rsidRDefault="00640F7F" w:rsidP="00640F7F">
      <w:pPr>
        <w:pStyle w:val="BodyText"/>
      </w:pPr>
      <w:r>
        <w:t>During a negotiation</w:t>
      </w:r>
      <w:r w:rsidR="00AF3EED">
        <w:t xml:space="preserve"> process</w:t>
      </w:r>
      <w:r>
        <w:t>,</w:t>
      </w:r>
      <w:r w:rsidR="00AF3EED">
        <w:t xml:space="preserve"> the process stops if the UE pair has made the agreement between each other, the UE pair applies the agreed DRX configuration. </w:t>
      </w:r>
      <w:r w:rsidR="002C45CC">
        <w:t>The process may terminate e.g., due to limitation of the number of steps. In this case</w:t>
      </w:r>
      <w:r>
        <w:t xml:space="preserve"> the UE pair cannot make an agreement on </w:t>
      </w:r>
      <w:r w:rsidR="00E024AC">
        <w:t>a</w:t>
      </w:r>
      <w:r w:rsidR="00E024AC">
        <w:t xml:space="preserve"> </w:t>
      </w:r>
      <w:r>
        <w:t>DRX configuration, both UEs can fallback to a default</w:t>
      </w:r>
      <w:r w:rsidR="00FC7CAD">
        <w:t>/common</w:t>
      </w:r>
      <w:r>
        <w:t xml:space="preserve"> DRX configuration</w:t>
      </w:r>
      <w:r w:rsidR="00021BA2">
        <w:t xml:space="preserve"> instead</w:t>
      </w:r>
      <w:r>
        <w:t>.</w:t>
      </w:r>
    </w:p>
    <w:p w14:paraId="7F40D8E8" w14:textId="77777777" w:rsidR="007E4C3A" w:rsidRDefault="007E4C3A" w:rsidP="007E4C3A">
      <w:pPr>
        <w:rPr>
          <w:rFonts w:ascii="Arial" w:hAnsi="Arial" w:cs="Arial"/>
        </w:rPr>
      </w:pPr>
      <w:r>
        <w:rPr>
          <w:rFonts w:ascii="Arial" w:hAnsi="Arial" w:cs="Arial"/>
        </w:rPr>
        <w:t>In addition, for a PC5 link or a SL RB, the transmissions/receptions on the link/RB will be bidirectional. A DRX configuration for the link or the SL RB will be determined based on the type of the service carried on the link/RB. It is natural to apply the DRX configuration for the link/RB regardless of transmission direction.</w:t>
      </w:r>
    </w:p>
    <w:p w14:paraId="1D16826A" w14:textId="77777777" w:rsidR="007E4C3A" w:rsidRDefault="007E4C3A" w:rsidP="00640F7F">
      <w:pPr>
        <w:pStyle w:val="BodyText"/>
      </w:pPr>
    </w:p>
    <w:p w14:paraId="5BCDE702" w14:textId="3474DE08" w:rsidR="004C6C8E" w:rsidRDefault="004C6C8E" w:rsidP="004C6C8E">
      <w:pPr>
        <w:pStyle w:val="Proposal"/>
      </w:pPr>
      <w:bookmarkStart w:id="7" w:name="_Toc61528826"/>
      <w:r w:rsidRPr="00FB547C">
        <w:rPr>
          <w:rFonts w:cs="Arial"/>
        </w:rPr>
        <w:t xml:space="preserve">For </w:t>
      </w:r>
      <w:r w:rsidR="003A0CBE">
        <w:t>unicast</w:t>
      </w:r>
      <w:r w:rsidRPr="00FB547C">
        <w:rPr>
          <w:rFonts w:cs="Arial"/>
        </w:rPr>
        <w:t xml:space="preserve">, </w:t>
      </w:r>
      <w:r w:rsidR="00FD536A" w:rsidRPr="00FB547C">
        <w:rPr>
          <w:rFonts w:cs="Arial"/>
        </w:rPr>
        <w:t>the</w:t>
      </w:r>
      <w:r w:rsidRPr="00FB547C">
        <w:rPr>
          <w:rFonts w:cs="Arial"/>
        </w:rPr>
        <w:t xml:space="preserve"> UE pair (i.e., a TX UE and a RX UE) </w:t>
      </w:r>
      <w:r w:rsidRPr="00FB547C">
        <w:rPr>
          <w:rFonts w:eastAsiaTheme="minorEastAsia" w:cs="Arial"/>
        </w:rPr>
        <w:t xml:space="preserve">apply </w:t>
      </w:r>
      <w:r w:rsidR="00FD536A" w:rsidRPr="00FB547C">
        <w:rPr>
          <w:rFonts w:eastAsiaTheme="minorEastAsia" w:cs="Arial"/>
        </w:rPr>
        <w:t>a DRX configuration when the UE pair has agreed on the DRX configuration</w:t>
      </w:r>
      <w:r w:rsidR="007E4C3A" w:rsidRPr="00FB547C">
        <w:rPr>
          <w:rFonts w:eastAsiaTheme="minorEastAsia" w:cs="Arial"/>
        </w:rPr>
        <w:t xml:space="preserve"> regardless of transmission direction</w:t>
      </w:r>
      <w:r>
        <w:t>.</w:t>
      </w:r>
      <w:bookmarkEnd w:id="7"/>
      <w:r>
        <w:t xml:space="preserve"> </w:t>
      </w:r>
    </w:p>
    <w:p w14:paraId="1D7D41F1" w14:textId="77777777" w:rsidR="004C6C8E" w:rsidRDefault="004C6C8E" w:rsidP="00640F7F">
      <w:pPr>
        <w:pStyle w:val="BodyText"/>
      </w:pPr>
    </w:p>
    <w:p w14:paraId="3E7B923E" w14:textId="5C378036" w:rsidR="00640F7F" w:rsidRDefault="00CD1067" w:rsidP="00640F7F">
      <w:pPr>
        <w:pStyle w:val="Proposal"/>
      </w:pPr>
      <w:bookmarkStart w:id="8" w:name="_Toc61528827"/>
      <w:r>
        <w:t xml:space="preserve">For unicast, </w:t>
      </w:r>
      <w:r w:rsidR="00D73203">
        <w:t>the</w:t>
      </w:r>
      <w:r w:rsidR="00D73203">
        <w:t xml:space="preserve"> </w:t>
      </w:r>
      <w:r w:rsidR="00640F7F">
        <w:t>UE pair (i.e., a TX UE and a RX UE) falls back to a default</w:t>
      </w:r>
      <w:r w:rsidR="00510A25">
        <w:t>/common</w:t>
      </w:r>
      <w:r w:rsidR="00640F7F">
        <w:t xml:space="preserve"> DRX configuration if the UE pair cannot agree on </w:t>
      </w:r>
      <w:r w:rsidR="00407387">
        <w:t>a DRX configuration recommended by the TX UE</w:t>
      </w:r>
      <w:r w:rsidR="00640F7F">
        <w:t>.</w:t>
      </w:r>
      <w:bookmarkEnd w:id="8"/>
      <w:r w:rsidR="00640F7F">
        <w:t xml:space="preserve"> </w:t>
      </w:r>
    </w:p>
    <w:p w14:paraId="7859F0D4" w14:textId="7B0DC421" w:rsidR="00D73203" w:rsidRDefault="00D73203" w:rsidP="008463AA">
      <w:pPr>
        <w:rPr>
          <w:rFonts w:ascii="Arial" w:hAnsi="Arial" w:cs="Arial"/>
        </w:rPr>
      </w:pPr>
    </w:p>
    <w:p w14:paraId="71259F2E" w14:textId="2357BF7D" w:rsidR="008463AA" w:rsidRPr="00D058D8" w:rsidRDefault="00632371" w:rsidP="008463AA">
      <w:pPr>
        <w:rPr>
          <w:rFonts w:ascii="Arial" w:hAnsi="Arial" w:cs="Arial"/>
          <w:lang w:val="en-US"/>
        </w:rPr>
      </w:pPr>
      <w:r w:rsidRPr="0021551F">
        <w:rPr>
          <w:rFonts w:ascii="Arial" w:hAnsi="Arial" w:cs="Arial"/>
        </w:rPr>
        <w:t xml:space="preserve">For </w:t>
      </w:r>
      <w:r>
        <w:rPr>
          <w:rFonts w:ascii="Arial" w:hAnsi="Arial" w:cs="Arial"/>
        </w:rPr>
        <w:t xml:space="preserve">groupcast and broadcast, </w:t>
      </w:r>
      <w:r w:rsidR="00B46DEF">
        <w:rPr>
          <w:rFonts w:ascii="Arial" w:hAnsi="Arial" w:cs="Arial"/>
        </w:rPr>
        <w:t xml:space="preserve">it is feasible to achieve alignment among UEs via a specific DRX configuration. The DRX configuration can be associated to the </w:t>
      </w:r>
      <w:r w:rsidR="00B46DEF" w:rsidRPr="0021551F">
        <w:rPr>
          <w:rFonts w:ascii="Arial" w:hAnsi="Arial" w:cs="Arial"/>
          <w:lang w:val="en-US"/>
        </w:rPr>
        <w:t>service type</w:t>
      </w:r>
      <w:r w:rsidR="00B46DEF">
        <w:rPr>
          <w:rFonts w:ascii="Arial" w:hAnsi="Arial" w:cs="Arial"/>
          <w:lang w:val="en-US"/>
        </w:rPr>
        <w:t xml:space="preserve"> </w:t>
      </w:r>
      <w:r w:rsidR="00B46DEF" w:rsidRPr="0021551F">
        <w:rPr>
          <w:rFonts w:ascii="Arial" w:hAnsi="Arial" w:cs="Arial"/>
          <w:lang w:val="en-US"/>
        </w:rPr>
        <w:t>(e.g., PSID/ITS-AID) or QoS class (e.g., PQI)</w:t>
      </w:r>
      <w:r w:rsidR="00B46DEF">
        <w:rPr>
          <w:rFonts w:ascii="Arial" w:hAnsi="Arial" w:cs="Arial"/>
          <w:lang w:val="en-US"/>
        </w:rPr>
        <w:t xml:space="preserve">. </w:t>
      </w:r>
      <w:r w:rsidR="00B46DEF" w:rsidRPr="00B46DEF">
        <w:rPr>
          <w:rFonts w:ascii="Arial" w:hAnsi="Arial" w:cs="Arial"/>
        </w:rPr>
        <w:t xml:space="preserve"> </w:t>
      </w:r>
    </w:p>
    <w:p w14:paraId="74A1326D" w14:textId="0E845CAE" w:rsidR="0021551F" w:rsidRDefault="0021551F" w:rsidP="0021551F">
      <w:pPr>
        <w:pStyle w:val="Proposal"/>
      </w:pPr>
      <w:bookmarkStart w:id="9" w:name="_Toc61528828"/>
      <w:r>
        <w:t xml:space="preserve">For broadcast or groupcast, SL DRX is aligned among UEs via a service specific DRX configuration (e.g., associated </w:t>
      </w:r>
      <w:r>
        <w:rPr>
          <w:rFonts w:cs="Arial"/>
        </w:rPr>
        <w:t xml:space="preserve">to the </w:t>
      </w:r>
      <w:r w:rsidRPr="0021551F">
        <w:rPr>
          <w:rFonts w:cs="Arial"/>
          <w:lang w:val="en-US"/>
        </w:rPr>
        <w:t>service type</w:t>
      </w:r>
      <w:r>
        <w:rPr>
          <w:rFonts w:cs="Arial"/>
          <w:lang w:val="en-US"/>
        </w:rPr>
        <w:t xml:space="preserve"> </w:t>
      </w:r>
      <w:r w:rsidRPr="0021551F">
        <w:rPr>
          <w:rFonts w:cs="Arial"/>
          <w:lang w:val="en-US"/>
        </w:rPr>
        <w:t>(e.g., PSID/ITS-AID) or QoS class (e.g., PQI)</w:t>
      </w:r>
      <w:r w:rsidR="00477AEA">
        <w:rPr>
          <w:rFonts w:cs="Arial"/>
          <w:lang w:val="en-US"/>
        </w:rPr>
        <w:t>)</w:t>
      </w:r>
      <w:r>
        <w:t>.</w:t>
      </w:r>
      <w:bookmarkEnd w:id="9"/>
    </w:p>
    <w:p w14:paraId="3FE0CAE6" w14:textId="77777777" w:rsidR="0021551F" w:rsidRPr="0021551F" w:rsidRDefault="0021551F" w:rsidP="008463AA">
      <w:pPr>
        <w:rPr>
          <w:rFonts w:ascii="Arial" w:hAnsi="Arial" w:cs="Arial"/>
        </w:rPr>
      </w:pPr>
    </w:p>
    <w:p w14:paraId="234B9CF4" w14:textId="16CEB87E" w:rsidR="00C01F33" w:rsidRPr="00CE0424" w:rsidRDefault="00290855" w:rsidP="00CE0424">
      <w:pPr>
        <w:pStyle w:val="Heading1"/>
      </w:pPr>
      <w:bookmarkStart w:id="10" w:name="_Toc53750734"/>
      <w:bookmarkEnd w:id="10"/>
      <w:r>
        <w:t>5</w:t>
      </w:r>
      <w:r w:rsidR="00103351">
        <w:tab/>
      </w:r>
      <w:r w:rsidR="00C01F33" w:rsidRPr="00CE0424">
        <w:t>Conclusion</w:t>
      </w:r>
    </w:p>
    <w:p w14:paraId="26D10B64"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9A7CAA2" w14:textId="0CB932DF" w:rsidR="006E1C82" w:rsidRDefault="006F6582" w:rsidP="008E065E">
      <w:pPr>
        <w:pStyle w:val="BodyText"/>
        <w:rPr>
          <w:b/>
          <w:bCs/>
        </w:rPr>
      </w:pPr>
      <w:r>
        <w:rPr>
          <w:b/>
          <w:bCs/>
        </w:rPr>
        <w:fldChar w:fldCharType="begin"/>
      </w:r>
      <w:r>
        <w:rPr>
          <w:b/>
          <w:bCs/>
        </w:rPr>
        <w:instrText xml:space="preserve"> TOC \f O \n \h \z \t "Observation" \c </w:instrText>
      </w:r>
      <w:r>
        <w:rPr>
          <w:b/>
          <w:bCs/>
        </w:rPr>
        <w:fldChar w:fldCharType="separate"/>
      </w:r>
      <w:r w:rsidR="00E00B13">
        <w:rPr>
          <w:noProof/>
          <w:lang w:val="en-US"/>
        </w:rPr>
        <w:t>No table of figures entries found.</w:t>
      </w:r>
      <w:r>
        <w:rPr>
          <w:b/>
          <w:bCs/>
        </w:rPr>
        <w:fldChar w:fldCharType="end"/>
      </w:r>
    </w:p>
    <w:p w14:paraId="551565FE" w14:textId="77777777" w:rsidR="006E1C82" w:rsidRDefault="006E1C82" w:rsidP="008E065E">
      <w:pPr>
        <w:pStyle w:val="BodyText"/>
        <w:rPr>
          <w:b/>
          <w:bCs/>
        </w:rPr>
      </w:pPr>
    </w:p>
    <w:p w14:paraId="30F6A381"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F6EABB4" w14:textId="77777777" w:rsidR="002E53B4" w:rsidRDefault="006E1C82">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528821" w:history="1">
        <w:r w:rsidR="002E53B4" w:rsidRPr="00646E7F">
          <w:rPr>
            <w:rStyle w:val="Hyperlink"/>
            <w:noProof/>
          </w:rPr>
          <w:t>Proposal 1</w:t>
        </w:r>
        <w:r w:rsidR="002E53B4">
          <w:rPr>
            <w:rFonts w:asciiTheme="minorHAnsi" w:eastAsiaTheme="minorEastAsia" w:hAnsiTheme="minorHAnsi" w:cstheme="minorBidi"/>
            <w:b w:val="0"/>
            <w:noProof/>
            <w:sz w:val="22"/>
            <w:szCs w:val="22"/>
            <w:lang w:val="sv-SE"/>
          </w:rPr>
          <w:tab/>
        </w:r>
        <w:r w:rsidR="002E53B4" w:rsidRPr="00646E7F">
          <w:rPr>
            <w:rStyle w:val="Hyperlink"/>
            <w:noProof/>
          </w:rPr>
          <w:t>For unicast, the term “TX UE” stands for the UE which initiates a PC5 link/SLRB establishment towards the other UE, while the other UE which receives the PC5 link/SLRB establishment is referred to as “RX UE”.</w:t>
        </w:r>
      </w:hyperlink>
    </w:p>
    <w:p w14:paraId="53BE0F73" w14:textId="77777777" w:rsidR="002E53B4" w:rsidRDefault="002E53B4">
      <w:pPr>
        <w:pStyle w:val="TableofFigures"/>
        <w:tabs>
          <w:tab w:val="right" w:leader="dot" w:pos="9629"/>
        </w:tabs>
        <w:rPr>
          <w:rFonts w:asciiTheme="minorHAnsi" w:eastAsiaTheme="minorEastAsia" w:hAnsiTheme="minorHAnsi" w:cstheme="minorBidi"/>
          <w:b w:val="0"/>
          <w:noProof/>
          <w:sz w:val="22"/>
          <w:szCs w:val="22"/>
          <w:lang w:val="sv-SE"/>
        </w:rPr>
      </w:pPr>
      <w:hyperlink w:anchor="_Toc61528822" w:history="1">
        <w:r w:rsidRPr="00646E7F">
          <w:rPr>
            <w:rStyle w:val="Hyperlink"/>
            <w:noProof/>
          </w:rPr>
          <w:t>Proposal 2</w:t>
        </w:r>
        <w:r>
          <w:rPr>
            <w:rFonts w:asciiTheme="minorHAnsi" w:eastAsiaTheme="minorEastAsia" w:hAnsiTheme="minorHAnsi" w:cstheme="minorBidi"/>
            <w:b w:val="0"/>
            <w:noProof/>
            <w:sz w:val="22"/>
            <w:szCs w:val="22"/>
            <w:lang w:val="sv-SE"/>
          </w:rPr>
          <w:tab/>
        </w:r>
        <w:r w:rsidRPr="00646E7F">
          <w:rPr>
            <w:rStyle w:val="Hyperlink"/>
            <w:noProof/>
          </w:rPr>
          <w:t>For unicast, TX UE centric option shall be adopted as the baseline for SL DRX alignment between UEs.</w:t>
        </w:r>
      </w:hyperlink>
    </w:p>
    <w:p w14:paraId="3D63A0BE" w14:textId="77777777" w:rsidR="002E53B4" w:rsidRDefault="002E53B4">
      <w:pPr>
        <w:pStyle w:val="TableofFigures"/>
        <w:tabs>
          <w:tab w:val="right" w:leader="dot" w:pos="9629"/>
        </w:tabs>
        <w:rPr>
          <w:rFonts w:asciiTheme="minorHAnsi" w:eastAsiaTheme="minorEastAsia" w:hAnsiTheme="minorHAnsi" w:cstheme="minorBidi"/>
          <w:b w:val="0"/>
          <w:noProof/>
          <w:sz w:val="22"/>
          <w:szCs w:val="22"/>
          <w:lang w:val="sv-SE"/>
        </w:rPr>
      </w:pPr>
      <w:hyperlink w:anchor="_Toc61528823" w:history="1">
        <w:r w:rsidRPr="00646E7F">
          <w:rPr>
            <w:rStyle w:val="Hyperlink"/>
            <w:noProof/>
          </w:rPr>
          <w:t>Proposal 3</w:t>
        </w:r>
        <w:r>
          <w:rPr>
            <w:rFonts w:asciiTheme="minorHAnsi" w:eastAsiaTheme="minorEastAsia" w:hAnsiTheme="minorHAnsi" w:cstheme="minorBidi"/>
            <w:b w:val="0"/>
            <w:noProof/>
            <w:sz w:val="22"/>
            <w:szCs w:val="22"/>
            <w:lang w:val="sv-SE"/>
          </w:rPr>
          <w:tab/>
        </w:r>
        <w:r w:rsidRPr="00646E7F">
          <w:rPr>
            <w:rStyle w:val="Hyperlink"/>
            <w:noProof/>
          </w:rPr>
          <w:t>For unicast, introduce a negotiation mechanism on top of TX UE centric option.</w:t>
        </w:r>
      </w:hyperlink>
    </w:p>
    <w:p w14:paraId="321A7D6E" w14:textId="77777777" w:rsidR="002E53B4" w:rsidRDefault="002E53B4">
      <w:pPr>
        <w:pStyle w:val="TableofFigures"/>
        <w:tabs>
          <w:tab w:val="right" w:leader="dot" w:pos="9629"/>
        </w:tabs>
        <w:rPr>
          <w:rFonts w:asciiTheme="minorHAnsi" w:eastAsiaTheme="minorEastAsia" w:hAnsiTheme="minorHAnsi" w:cstheme="minorBidi"/>
          <w:b w:val="0"/>
          <w:noProof/>
          <w:sz w:val="22"/>
          <w:szCs w:val="22"/>
          <w:lang w:val="sv-SE"/>
        </w:rPr>
      </w:pPr>
      <w:hyperlink w:anchor="_Toc61528824" w:history="1">
        <w:r w:rsidRPr="00646E7F">
          <w:rPr>
            <w:rStyle w:val="Hyperlink"/>
            <w:noProof/>
          </w:rPr>
          <w:t>Proposal 4</w:t>
        </w:r>
        <w:r>
          <w:rPr>
            <w:rFonts w:asciiTheme="minorHAnsi" w:eastAsiaTheme="minorEastAsia" w:hAnsiTheme="minorHAnsi" w:cstheme="minorBidi"/>
            <w:b w:val="0"/>
            <w:noProof/>
            <w:sz w:val="22"/>
            <w:szCs w:val="22"/>
            <w:lang w:val="sv-SE"/>
          </w:rPr>
          <w:tab/>
        </w:r>
        <w:r w:rsidRPr="00646E7F">
          <w:rPr>
            <w:rStyle w:val="Hyperlink"/>
            <w:noProof/>
          </w:rPr>
          <w:t>For unicast, a two-step negotiation process (i.e., RX UE simply accepts or rejects TX UE’s suggestion) should be adopted as the baseline.</w:t>
        </w:r>
      </w:hyperlink>
    </w:p>
    <w:p w14:paraId="3D4AA7B9" w14:textId="77777777" w:rsidR="002E53B4" w:rsidRDefault="002E53B4">
      <w:pPr>
        <w:pStyle w:val="TableofFigures"/>
        <w:tabs>
          <w:tab w:val="right" w:leader="dot" w:pos="9629"/>
        </w:tabs>
        <w:rPr>
          <w:rFonts w:asciiTheme="minorHAnsi" w:eastAsiaTheme="minorEastAsia" w:hAnsiTheme="minorHAnsi" w:cstheme="minorBidi"/>
          <w:b w:val="0"/>
          <w:noProof/>
          <w:sz w:val="22"/>
          <w:szCs w:val="22"/>
          <w:lang w:val="sv-SE"/>
        </w:rPr>
      </w:pPr>
      <w:hyperlink w:anchor="_Toc61528825" w:history="1">
        <w:r w:rsidRPr="00646E7F">
          <w:rPr>
            <w:rStyle w:val="Hyperlink"/>
            <w:noProof/>
          </w:rPr>
          <w:t>Proposal 5</w:t>
        </w:r>
        <w:r>
          <w:rPr>
            <w:rFonts w:asciiTheme="minorHAnsi" w:eastAsiaTheme="minorEastAsia" w:hAnsiTheme="minorHAnsi" w:cstheme="minorBidi"/>
            <w:b w:val="0"/>
            <w:noProof/>
            <w:sz w:val="22"/>
            <w:szCs w:val="22"/>
            <w:lang w:val="sv-SE"/>
          </w:rPr>
          <w:tab/>
        </w:r>
        <w:r w:rsidRPr="00646E7F">
          <w:rPr>
            <w:rStyle w:val="Hyperlink"/>
            <w:noProof/>
          </w:rPr>
          <w:t>For unicast, it is FFS on the necessity of a more complex negotiation procedure such as a three-step or four-step process (i.e., RX UE can indicate more information/choices in the response message for further negotiation).</w:t>
        </w:r>
      </w:hyperlink>
    </w:p>
    <w:p w14:paraId="741137F9" w14:textId="77777777" w:rsidR="002E53B4" w:rsidRDefault="002E53B4">
      <w:pPr>
        <w:pStyle w:val="TableofFigures"/>
        <w:tabs>
          <w:tab w:val="right" w:leader="dot" w:pos="9629"/>
        </w:tabs>
        <w:rPr>
          <w:rFonts w:asciiTheme="minorHAnsi" w:eastAsiaTheme="minorEastAsia" w:hAnsiTheme="minorHAnsi" w:cstheme="minorBidi"/>
          <w:b w:val="0"/>
          <w:noProof/>
          <w:sz w:val="22"/>
          <w:szCs w:val="22"/>
          <w:lang w:val="sv-SE"/>
        </w:rPr>
      </w:pPr>
      <w:hyperlink w:anchor="_Toc61528826" w:history="1">
        <w:r w:rsidRPr="00646E7F">
          <w:rPr>
            <w:rStyle w:val="Hyperlink"/>
            <w:noProof/>
          </w:rPr>
          <w:t>Proposal 6</w:t>
        </w:r>
        <w:r>
          <w:rPr>
            <w:rFonts w:asciiTheme="minorHAnsi" w:eastAsiaTheme="minorEastAsia" w:hAnsiTheme="minorHAnsi" w:cstheme="minorBidi"/>
            <w:b w:val="0"/>
            <w:noProof/>
            <w:sz w:val="22"/>
            <w:szCs w:val="22"/>
            <w:lang w:val="sv-SE"/>
          </w:rPr>
          <w:tab/>
        </w:r>
        <w:r w:rsidRPr="00646E7F">
          <w:rPr>
            <w:rStyle w:val="Hyperlink"/>
            <w:rFonts w:cs="Arial"/>
            <w:noProof/>
          </w:rPr>
          <w:t xml:space="preserve">For </w:t>
        </w:r>
        <w:r w:rsidRPr="00646E7F">
          <w:rPr>
            <w:rStyle w:val="Hyperlink"/>
            <w:noProof/>
          </w:rPr>
          <w:t>unicast</w:t>
        </w:r>
        <w:r w:rsidRPr="00646E7F">
          <w:rPr>
            <w:rStyle w:val="Hyperlink"/>
            <w:rFonts w:cs="Arial"/>
            <w:noProof/>
          </w:rPr>
          <w:t>, the UE pair (i.e., a TX UE and a RX UE) apply a DRX configuration when the UE pair has agreed on the DRX configuration regardless of transmission direction</w:t>
        </w:r>
        <w:r w:rsidRPr="00646E7F">
          <w:rPr>
            <w:rStyle w:val="Hyperlink"/>
            <w:noProof/>
          </w:rPr>
          <w:t>.</w:t>
        </w:r>
      </w:hyperlink>
    </w:p>
    <w:p w14:paraId="539D4E81" w14:textId="77777777" w:rsidR="002E53B4" w:rsidRDefault="002E53B4">
      <w:pPr>
        <w:pStyle w:val="TableofFigures"/>
        <w:tabs>
          <w:tab w:val="right" w:leader="dot" w:pos="9629"/>
        </w:tabs>
        <w:rPr>
          <w:rFonts w:asciiTheme="minorHAnsi" w:eastAsiaTheme="minorEastAsia" w:hAnsiTheme="minorHAnsi" w:cstheme="minorBidi"/>
          <w:b w:val="0"/>
          <w:noProof/>
          <w:sz w:val="22"/>
          <w:szCs w:val="22"/>
          <w:lang w:val="sv-SE"/>
        </w:rPr>
      </w:pPr>
      <w:hyperlink w:anchor="_Toc61528827" w:history="1">
        <w:r w:rsidRPr="00646E7F">
          <w:rPr>
            <w:rStyle w:val="Hyperlink"/>
            <w:noProof/>
          </w:rPr>
          <w:t>Proposal 7</w:t>
        </w:r>
        <w:r>
          <w:rPr>
            <w:rFonts w:asciiTheme="minorHAnsi" w:eastAsiaTheme="minorEastAsia" w:hAnsiTheme="minorHAnsi" w:cstheme="minorBidi"/>
            <w:b w:val="0"/>
            <w:noProof/>
            <w:sz w:val="22"/>
            <w:szCs w:val="22"/>
            <w:lang w:val="sv-SE"/>
          </w:rPr>
          <w:tab/>
        </w:r>
        <w:r w:rsidRPr="00646E7F">
          <w:rPr>
            <w:rStyle w:val="Hyperlink"/>
            <w:noProof/>
          </w:rPr>
          <w:t>For unicast, the UE pair (i.e., a TX UE and a RX UE) falls back to a default/common DRX configuration if the UE pair cannot agree on a DRX configuration recommended by the TX UE.</w:t>
        </w:r>
      </w:hyperlink>
    </w:p>
    <w:p w14:paraId="54D99F3A" w14:textId="77777777" w:rsidR="002E53B4" w:rsidRDefault="002E53B4">
      <w:pPr>
        <w:pStyle w:val="TableofFigures"/>
        <w:tabs>
          <w:tab w:val="right" w:leader="dot" w:pos="9629"/>
        </w:tabs>
        <w:rPr>
          <w:rFonts w:asciiTheme="minorHAnsi" w:eastAsiaTheme="minorEastAsia" w:hAnsiTheme="minorHAnsi" w:cstheme="minorBidi"/>
          <w:b w:val="0"/>
          <w:noProof/>
          <w:sz w:val="22"/>
          <w:szCs w:val="22"/>
          <w:lang w:val="sv-SE"/>
        </w:rPr>
      </w:pPr>
      <w:hyperlink w:anchor="_Toc61528828" w:history="1">
        <w:r w:rsidRPr="00646E7F">
          <w:rPr>
            <w:rStyle w:val="Hyperlink"/>
            <w:noProof/>
          </w:rPr>
          <w:t>Proposal 8</w:t>
        </w:r>
        <w:r>
          <w:rPr>
            <w:rFonts w:asciiTheme="minorHAnsi" w:eastAsiaTheme="minorEastAsia" w:hAnsiTheme="minorHAnsi" w:cstheme="minorBidi"/>
            <w:b w:val="0"/>
            <w:noProof/>
            <w:sz w:val="22"/>
            <w:szCs w:val="22"/>
            <w:lang w:val="sv-SE"/>
          </w:rPr>
          <w:tab/>
        </w:r>
        <w:r w:rsidRPr="00646E7F">
          <w:rPr>
            <w:rStyle w:val="Hyperlink"/>
            <w:noProof/>
          </w:rPr>
          <w:t xml:space="preserve">For broadcast or groupcast, SL DRX is aligned among UEs via a service specific DRX configuration (e.g., associated </w:t>
        </w:r>
        <w:r w:rsidRPr="00646E7F">
          <w:rPr>
            <w:rStyle w:val="Hyperlink"/>
            <w:rFonts w:cs="Arial"/>
            <w:noProof/>
          </w:rPr>
          <w:t xml:space="preserve">to the </w:t>
        </w:r>
        <w:r w:rsidRPr="00646E7F">
          <w:rPr>
            <w:rStyle w:val="Hyperlink"/>
            <w:rFonts w:cs="Arial"/>
            <w:noProof/>
            <w:lang w:val="en-US"/>
          </w:rPr>
          <w:t>service type (e.g., PSID/ITS-AID) or QoS class (e.g., PQI))</w:t>
        </w:r>
        <w:r w:rsidRPr="00646E7F">
          <w:rPr>
            <w:rStyle w:val="Hyperlink"/>
            <w:noProof/>
          </w:rPr>
          <w:t>.</w:t>
        </w:r>
      </w:hyperlink>
    </w:p>
    <w:p w14:paraId="5ADD0A79" w14:textId="229BE8EF" w:rsidR="00F507D1" w:rsidRPr="00CE0424" w:rsidRDefault="006E1C82" w:rsidP="00CE0424">
      <w:pPr>
        <w:pStyle w:val="Heading1"/>
      </w:pPr>
      <w:r>
        <w:rPr>
          <w:b/>
          <w:bCs/>
          <w:lang w:val="en-US"/>
        </w:rPr>
        <w:fldChar w:fldCharType="end"/>
      </w:r>
      <w:r w:rsidRPr="00CE0424">
        <w:rPr>
          <w:b/>
          <w:bCs/>
        </w:rPr>
        <w:t xml:space="preserve"> </w:t>
      </w:r>
      <w:bookmarkStart w:id="11" w:name="_In-sequence_SDU_delivery"/>
      <w:bookmarkEnd w:id="11"/>
      <w:r w:rsidR="00F507D1" w:rsidRPr="00CE0424">
        <w:t>References</w:t>
      </w:r>
    </w:p>
    <w:p w14:paraId="6A63F4F9" w14:textId="77777777" w:rsidR="00602186" w:rsidRPr="00773CF0" w:rsidRDefault="00602186" w:rsidP="00602186">
      <w:pPr>
        <w:pStyle w:val="Reference"/>
        <w:overflowPunct/>
        <w:autoSpaceDE/>
        <w:autoSpaceDN/>
        <w:adjustRightInd/>
        <w:spacing w:line="259" w:lineRule="auto"/>
        <w:textAlignment w:val="auto"/>
      </w:pPr>
      <w:bookmarkStart w:id="12" w:name="_Ref52523679"/>
      <w:bookmarkStart w:id="13" w:name="_Ref174151459"/>
      <w:bookmarkStart w:id="14" w:name="_Ref189809556"/>
      <w:r w:rsidRPr="00CE2928">
        <w:t>RP-20</w:t>
      </w:r>
      <w:r>
        <w:t>2846</w:t>
      </w:r>
      <w:r w:rsidRPr="00773CF0">
        <w:t xml:space="preserve">, “WID revision: NR </w:t>
      </w:r>
      <w:proofErr w:type="spellStart"/>
      <w:r w:rsidRPr="00773CF0">
        <w:t>sidelink</w:t>
      </w:r>
      <w:proofErr w:type="spellEnd"/>
      <w:r w:rsidRPr="00773CF0">
        <w:t xml:space="preserve"> enhancement”</w:t>
      </w:r>
      <w:r>
        <w:t>,</w:t>
      </w:r>
      <w:r w:rsidRPr="00773CF0">
        <w:t xml:space="preserve"> LG Electronics, 3GPP TSG RAN Meeting #</w:t>
      </w:r>
      <w:r>
        <w:t>90e</w:t>
      </w:r>
      <w:r w:rsidRPr="00773CF0">
        <w:t xml:space="preserve">, Electronic Meeting, </w:t>
      </w:r>
      <w:r>
        <w:t>December 7 - 11</w:t>
      </w:r>
      <w:r w:rsidRPr="00773CF0">
        <w:t>, 2020</w:t>
      </w:r>
    </w:p>
    <w:bookmarkEnd w:id="12"/>
    <w:bookmarkEnd w:id="13"/>
    <w:bookmarkEnd w:id="14"/>
    <w:p w14:paraId="66667542" w14:textId="042D4D42" w:rsidR="00947A74" w:rsidRPr="00020720" w:rsidRDefault="00947A74" w:rsidP="00602186">
      <w:pPr>
        <w:pStyle w:val="Reference"/>
        <w:numPr>
          <w:ilvl w:val="0"/>
          <w:numId w:val="0"/>
        </w:numPr>
        <w:ind w:left="567"/>
        <w:rPr>
          <w:bCs/>
        </w:rPr>
      </w:pPr>
    </w:p>
    <w:sectPr w:rsidR="00947A74" w:rsidRPr="0002072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F0E2B" w14:textId="77777777" w:rsidR="00D058D8" w:rsidRDefault="00D058D8">
      <w:r>
        <w:separator/>
      </w:r>
    </w:p>
  </w:endnote>
  <w:endnote w:type="continuationSeparator" w:id="0">
    <w:p w14:paraId="3C463D06" w14:textId="77777777" w:rsidR="00D058D8" w:rsidRDefault="00D058D8">
      <w:r>
        <w:continuationSeparator/>
      </w:r>
    </w:p>
  </w:endnote>
  <w:endnote w:type="continuationNotice" w:id="1">
    <w:p w14:paraId="283193B8" w14:textId="77777777" w:rsidR="00D058D8" w:rsidRDefault="00D058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00000287" w:usb1="080E0000" w:usb2="00000010"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04EBC" w14:textId="77777777" w:rsidR="00D058D8" w:rsidRDefault="00D058D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33D54" w14:textId="77777777" w:rsidR="00D058D8" w:rsidRDefault="00D058D8">
      <w:r>
        <w:separator/>
      </w:r>
    </w:p>
  </w:footnote>
  <w:footnote w:type="continuationSeparator" w:id="0">
    <w:p w14:paraId="3DEB5770" w14:textId="77777777" w:rsidR="00D058D8" w:rsidRDefault="00D058D8">
      <w:r>
        <w:continuationSeparator/>
      </w:r>
    </w:p>
  </w:footnote>
  <w:footnote w:type="continuationNotice" w:id="1">
    <w:p w14:paraId="231B1CE3" w14:textId="77777777" w:rsidR="00D058D8" w:rsidRDefault="00D058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64860" w14:textId="77777777" w:rsidR="00D058D8" w:rsidRDefault="00D058D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64314D"/>
    <w:multiLevelType w:val="hybridMultilevel"/>
    <w:tmpl w:val="49FA93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D4E2DDD"/>
    <w:multiLevelType w:val="hybridMultilevel"/>
    <w:tmpl w:val="8C4E2544"/>
    <w:lvl w:ilvl="0" w:tplc="041D0011">
      <w:start w:val="1"/>
      <w:numFmt w:val="decimal"/>
      <w:lvlText w:val="%1)"/>
      <w:lvlJc w:val="left"/>
      <w:pPr>
        <w:tabs>
          <w:tab w:val="num" w:pos="360"/>
        </w:tabs>
        <w:ind w:left="360" w:hanging="360"/>
      </w:pPr>
      <w:rPr>
        <w:rFonts w:hint="default"/>
      </w:rPr>
    </w:lvl>
    <w:lvl w:ilvl="1" w:tplc="DB32C968">
      <w:start w:val="1"/>
      <w:numFmt w:val="bullet"/>
      <w:lvlText w:val="●"/>
      <w:lvlJc w:val="left"/>
      <w:pPr>
        <w:tabs>
          <w:tab w:val="num" w:pos="1080"/>
        </w:tabs>
        <w:ind w:left="1080" w:hanging="360"/>
      </w:pPr>
      <w:rPr>
        <w:rFonts w:ascii="Ericsson Hilda" w:hAnsi="Ericsson Hilda" w:hint="default"/>
      </w:rPr>
    </w:lvl>
    <w:lvl w:ilvl="2" w:tplc="4B8EE41C">
      <w:start w:val="1"/>
      <w:numFmt w:val="bullet"/>
      <w:lvlText w:val="●"/>
      <w:lvlJc w:val="left"/>
      <w:pPr>
        <w:tabs>
          <w:tab w:val="num" w:pos="1800"/>
        </w:tabs>
        <w:ind w:left="1800" w:hanging="360"/>
      </w:pPr>
      <w:rPr>
        <w:rFonts w:ascii="Ericsson Hilda" w:hAnsi="Ericsson Hilda" w:hint="default"/>
      </w:rPr>
    </w:lvl>
    <w:lvl w:ilvl="3" w:tplc="BAA869EC" w:tentative="1">
      <w:start w:val="1"/>
      <w:numFmt w:val="bullet"/>
      <w:lvlText w:val="●"/>
      <w:lvlJc w:val="left"/>
      <w:pPr>
        <w:tabs>
          <w:tab w:val="num" w:pos="2520"/>
        </w:tabs>
        <w:ind w:left="2520" w:hanging="360"/>
      </w:pPr>
      <w:rPr>
        <w:rFonts w:ascii="Ericsson Hilda" w:hAnsi="Ericsson Hilda" w:hint="default"/>
      </w:rPr>
    </w:lvl>
    <w:lvl w:ilvl="4" w:tplc="F6F22976" w:tentative="1">
      <w:start w:val="1"/>
      <w:numFmt w:val="bullet"/>
      <w:lvlText w:val="●"/>
      <w:lvlJc w:val="left"/>
      <w:pPr>
        <w:tabs>
          <w:tab w:val="num" w:pos="3240"/>
        </w:tabs>
        <w:ind w:left="3240" w:hanging="360"/>
      </w:pPr>
      <w:rPr>
        <w:rFonts w:ascii="Ericsson Hilda" w:hAnsi="Ericsson Hilda" w:hint="default"/>
      </w:rPr>
    </w:lvl>
    <w:lvl w:ilvl="5" w:tplc="EFC63C2A" w:tentative="1">
      <w:start w:val="1"/>
      <w:numFmt w:val="bullet"/>
      <w:lvlText w:val="●"/>
      <w:lvlJc w:val="left"/>
      <w:pPr>
        <w:tabs>
          <w:tab w:val="num" w:pos="3960"/>
        </w:tabs>
        <w:ind w:left="3960" w:hanging="360"/>
      </w:pPr>
      <w:rPr>
        <w:rFonts w:ascii="Ericsson Hilda" w:hAnsi="Ericsson Hilda" w:hint="default"/>
      </w:rPr>
    </w:lvl>
    <w:lvl w:ilvl="6" w:tplc="724E92E4" w:tentative="1">
      <w:start w:val="1"/>
      <w:numFmt w:val="bullet"/>
      <w:lvlText w:val="●"/>
      <w:lvlJc w:val="left"/>
      <w:pPr>
        <w:tabs>
          <w:tab w:val="num" w:pos="4680"/>
        </w:tabs>
        <w:ind w:left="4680" w:hanging="360"/>
      </w:pPr>
      <w:rPr>
        <w:rFonts w:ascii="Ericsson Hilda" w:hAnsi="Ericsson Hilda" w:hint="default"/>
      </w:rPr>
    </w:lvl>
    <w:lvl w:ilvl="7" w:tplc="D542CA12" w:tentative="1">
      <w:start w:val="1"/>
      <w:numFmt w:val="bullet"/>
      <w:lvlText w:val="●"/>
      <w:lvlJc w:val="left"/>
      <w:pPr>
        <w:tabs>
          <w:tab w:val="num" w:pos="5400"/>
        </w:tabs>
        <w:ind w:left="5400" w:hanging="360"/>
      </w:pPr>
      <w:rPr>
        <w:rFonts w:ascii="Ericsson Hilda" w:hAnsi="Ericsson Hilda" w:hint="default"/>
      </w:rPr>
    </w:lvl>
    <w:lvl w:ilvl="8" w:tplc="AD9227A8" w:tentative="1">
      <w:start w:val="1"/>
      <w:numFmt w:val="bullet"/>
      <w:lvlText w:val="●"/>
      <w:lvlJc w:val="left"/>
      <w:pPr>
        <w:tabs>
          <w:tab w:val="num" w:pos="6120"/>
        </w:tabs>
        <w:ind w:left="6120" w:hanging="360"/>
      </w:pPr>
      <w:rPr>
        <w:rFonts w:ascii="Ericsson Hilda" w:hAnsi="Ericsson Hilda" w:hint="default"/>
      </w:rPr>
    </w:lvl>
  </w:abstractNum>
  <w:abstractNum w:abstractNumId="6" w15:restartNumberingAfterBreak="0">
    <w:nsid w:val="0E9B783F"/>
    <w:multiLevelType w:val="hybridMultilevel"/>
    <w:tmpl w:val="93D496B6"/>
    <w:lvl w:ilvl="0" w:tplc="B74C563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6A328F4"/>
    <w:multiLevelType w:val="hybridMultilevel"/>
    <w:tmpl w:val="A46C6E6C"/>
    <w:lvl w:ilvl="0" w:tplc="041D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8900BC3"/>
    <w:multiLevelType w:val="hybridMultilevel"/>
    <w:tmpl w:val="C312164C"/>
    <w:lvl w:ilvl="0" w:tplc="C08440D6">
      <w:start w:val="1"/>
      <w:numFmt w:val="bullet"/>
      <w:lvlText w:val="•"/>
      <w:lvlJc w:val="left"/>
      <w:pPr>
        <w:tabs>
          <w:tab w:val="num" w:pos="720"/>
        </w:tabs>
        <w:ind w:left="720" w:hanging="360"/>
      </w:pPr>
      <w:rPr>
        <w:rFonts w:ascii="Arial" w:hAnsi="Arial" w:hint="default"/>
      </w:rPr>
    </w:lvl>
    <w:lvl w:ilvl="1" w:tplc="E1C6E63C">
      <w:start w:val="1"/>
      <w:numFmt w:val="bullet"/>
      <w:lvlText w:val="•"/>
      <w:lvlJc w:val="left"/>
      <w:pPr>
        <w:tabs>
          <w:tab w:val="num" w:pos="1440"/>
        </w:tabs>
        <w:ind w:left="1440" w:hanging="360"/>
      </w:pPr>
      <w:rPr>
        <w:rFonts w:ascii="Arial" w:hAnsi="Arial" w:hint="default"/>
      </w:rPr>
    </w:lvl>
    <w:lvl w:ilvl="2" w:tplc="1E4251B6">
      <w:numFmt w:val="bullet"/>
      <w:lvlText w:val="•"/>
      <w:lvlJc w:val="left"/>
      <w:pPr>
        <w:tabs>
          <w:tab w:val="num" w:pos="2160"/>
        </w:tabs>
        <w:ind w:left="2160" w:hanging="360"/>
      </w:pPr>
      <w:rPr>
        <w:rFonts w:ascii="Arial" w:hAnsi="Arial" w:hint="default"/>
      </w:rPr>
    </w:lvl>
    <w:lvl w:ilvl="3" w:tplc="275EA0A6" w:tentative="1">
      <w:start w:val="1"/>
      <w:numFmt w:val="bullet"/>
      <w:lvlText w:val="•"/>
      <w:lvlJc w:val="left"/>
      <w:pPr>
        <w:tabs>
          <w:tab w:val="num" w:pos="2880"/>
        </w:tabs>
        <w:ind w:left="2880" w:hanging="360"/>
      </w:pPr>
      <w:rPr>
        <w:rFonts w:ascii="Arial" w:hAnsi="Arial" w:hint="default"/>
      </w:rPr>
    </w:lvl>
    <w:lvl w:ilvl="4" w:tplc="975AF7E0" w:tentative="1">
      <w:start w:val="1"/>
      <w:numFmt w:val="bullet"/>
      <w:lvlText w:val="•"/>
      <w:lvlJc w:val="left"/>
      <w:pPr>
        <w:tabs>
          <w:tab w:val="num" w:pos="3600"/>
        </w:tabs>
        <w:ind w:left="3600" w:hanging="360"/>
      </w:pPr>
      <w:rPr>
        <w:rFonts w:ascii="Arial" w:hAnsi="Arial" w:hint="default"/>
      </w:rPr>
    </w:lvl>
    <w:lvl w:ilvl="5" w:tplc="CD524E68" w:tentative="1">
      <w:start w:val="1"/>
      <w:numFmt w:val="bullet"/>
      <w:lvlText w:val="•"/>
      <w:lvlJc w:val="left"/>
      <w:pPr>
        <w:tabs>
          <w:tab w:val="num" w:pos="4320"/>
        </w:tabs>
        <w:ind w:left="4320" w:hanging="360"/>
      </w:pPr>
      <w:rPr>
        <w:rFonts w:ascii="Arial" w:hAnsi="Arial" w:hint="default"/>
      </w:rPr>
    </w:lvl>
    <w:lvl w:ilvl="6" w:tplc="70D28BD4" w:tentative="1">
      <w:start w:val="1"/>
      <w:numFmt w:val="bullet"/>
      <w:lvlText w:val="•"/>
      <w:lvlJc w:val="left"/>
      <w:pPr>
        <w:tabs>
          <w:tab w:val="num" w:pos="5040"/>
        </w:tabs>
        <w:ind w:left="5040" w:hanging="360"/>
      </w:pPr>
      <w:rPr>
        <w:rFonts w:ascii="Arial" w:hAnsi="Arial" w:hint="default"/>
      </w:rPr>
    </w:lvl>
    <w:lvl w:ilvl="7" w:tplc="DAB2789C" w:tentative="1">
      <w:start w:val="1"/>
      <w:numFmt w:val="bullet"/>
      <w:lvlText w:val="•"/>
      <w:lvlJc w:val="left"/>
      <w:pPr>
        <w:tabs>
          <w:tab w:val="num" w:pos="5760"/>
        </w:tabs>
        <w:ind w:left="5760" w:hanging="360"/>
      </w:pPr>
      <w:rPr>
        <w:rFonts w:ascii="Arial" w:hAnsi="Arial" w:hint="default"/>
      </w:rPr>
    </w:lvl>
    <w:lvl w:ilvl="8" w:tplc="543015D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71458F"/>
    <w:multiLevelType w:val="hybridMultilevel"/>
    <w:tmpl w:val="3E1411FA"/>
    <w:lvl w:ilvl="0" w:tplc="024EE580">
      <w:start w:val="1"/>
      <w:numFmt w:val="bullet"/>
      <w:lvlText w:val="●"/>
      <w:lvlJc w:val="left"/>
      <w:pPr>
        <w:tabs>
          <w:tab w:val="num" w:pos="360"/>
        </w:tabs>
        <w:ind w:left="360" w:hanging="360"/>
      </w:pPr>
      <w:rPr>
        <w:rFonts w:ascii="Ericsson Hilda" w:hAnsi="Ericsson Hilda" w:hint="default"/>
      </w:rPr>
    </w:lvl>
    <w:lvl w:ilvl="1" w:tplc="DB32C968">
      <w:start w:val="1"/>
      <w:numFmt w:val="bullet"/>
      <w:lvlText w:val="●"/>
      <w:lvlJc w:val="left"/>
      <w:pPr>
        <w:tabs>
          <w:tab w:val="num" w:pos="1080"/>
        </w:tabs>
        <w:ind w:left="1080" w:hanging="360"/>
      </w:pPr>
      <w:rPr>
        <w:rFonts w:ascii="Ericsson Hilda" w:hAnsi="Ericsson Hilda" w:hint="default"/>
      </w:rPr>
    </w:lvl>
    <w:lvl w:ilvl="2" w:tplc="4B8EE41C">
      <w:start w:val="1"/>
      <w:numFmt w:val="bullet"/>
      <w:lvlText w:val="●"/>
      <w:lvlJc w:val="left"/>
      <w:pPr>
        <w:tabs>
          <w:tab w:val="num" w:pos="1800"/>
        </w:tabs>
        <w:ind w:left="1800" w:hanging="360"/>
      </w:pPr>
      <w:rPr>
        <w:rFonts w:ascii="Ericsson Hilda" w:hAnsi="Ericsson Hilda" w:hint="default"/>
      </w:rPr>
    </w:lvl>
    <w:lvl w:ilvl="3" w:tplc="BAA869EC" w:tentative="1">
      <w:start w:val="1"/>
      <w:numFmt w:val="bullet"/>
      <w:lvlText w:val="●"/>
      <w:lvlJc w:val="left"/>
      <w:pPr>
        <w:tabs>
          <w:tab w:val="num" w:pos="2520"/>
        </w:tabs>
        <w:ind w:left="2520" w:hanging="360"/>
      </w:pPr>
      <w:rPr>
        <w:rFonts w:ascii="Ericsson Hilda" w:hAnsi="Ericsson Hilda" w:hint="default"/>
      </w:rPr>
    </w:lvl>
    <w:lvl w:ilvl="4" w:tplc="F6F22976" w:tentative="1">
      <w:start w:val="1"/>
      <w:numFmt w:val="bullet"/>
      <w:lvlText w:val="●"/>
      <w:lvlJc w:val="left"/>
      <w:pPr>
        <w:tabs>
          <w:tab w:val="num" w:pos="3240"/>
        </w:tabs>
        <w:ind w:left="3240" w:hanging="360"/>
      </w:pPr>
      <w:rPr>
        <w:rFonts w:ascii="Ericsson Hilda" w:hAnsi="Ericsson Hilda" w:hint="default"/>
      </w:rPr>
    </w:lvl>
    <w:lvl w:ilvl="5" w:tplc="EFC63C2A" w:tentative="1">
      <w:start w:val="1"/>
      <w:numFmt w:val="bullet"/>
      <w:lvlText w:val="●"/>
      <w:lvlJc w:val="left"/>
      <w:pPr>
        <w:tabs>
          <w:tab w:val="num" w:pos="3960"/>
        </w:tabs>
        <w:ind w:left="3960" w:hanging="360"/>
      </w:pPr>
      <w:rPr>
        <w:rFonts w:ascii="Ericsson Hilda" w:hAnsi="Ericsson Hilda" w:hint="default"/>
      </w:rPr>
    </w:lvl>
    <w:lvl w:ilvl="6" w:tplc="724E92E4" w:tentative="1">
      <w:start w:val="1"/>
      <w:numFmt w:val="bullet"/>
      <w:lvlText w:val="●"/>
      <w:lvlJc w:val="left"/>
      <w:pPr>
        <w:tabs>
          <w:tab w:val="num" w:pos="4680"/>
        </w:tabs>
        <w:ind w:left="4680" w:hanging="360"/>
      </w:pPr>
      <w:rPr>
        <w:rFonts w:ascii="Ericsson Hilda" w:hAnsi="Ericsson Hilda" w:hint="default"/>
      </w:rPr>
    </w:lvl>
    <w:lvl w:ilvl="7" w:tplc="D542CA12" w:tentative="1">
      <w:start w:val="1"/>
      <w:numFmt w:val="bullet"/>
      <w:lvlText w:val="●"/>
      <w:lvlJc w:val="left"/>
      <w:pPr>
        <w:tabs>
          <w:tab w:val="num" w:pos="5400"/>
        </w:tabs>
        <w:ind w:left="5400" w:hanging="360"/>
      </w:pPr>
      <w:rPr>
        <w:rFonts w:ascii="Ericsson Hilda" w:hAnsi="Ericsson Hilda" w:hint="default"/>
      </w:rPr>
    </w:lvl>
    <w:lvl w:ilvl="8" w:tplc="AD9227A8" w:tentative="1">
      <w:start w:val="1"/>
      <w:numFmt w:val="bullet"/>
      <w:lvlText w:val="●"/>
      <w:lvlJc w:val="left"/>
      <w:pPr>
        <w:tabs>
          <w:tab w:val="num" w:pos="6120"/>
        </w:tabs>
        <w:ind w:left="6120" w:hanging="360"/>
      </w:pPr>
      <w:rPr>
        <w:rFonts w:ascii="Ericsson Hilda" w:hAnsi="Ericsson Hilda" w:hint="default"/>
      </w:rPr>
    </w:lvl>
  </w:abstractNum>
  <w:abstractNum w:abstractNumId="14" w15:restartNumberingAfterBreak="0">
    <w:nsid w:val="27E81D74"/>
    <w:multiLevelType w:val="hybridMultilevel"/>
    <w:tmpl w:val="247E7E38"/>
    <w:lvl w:ilvl="0" w:tplc="97366D02">
      <w:start w:val="1"/>
      <w:numFmt w:val="bullet"/>
      <w:lvlText w:val="●"/>
      <w:lvlJc w:val="left"/>
      <w:pPr>
        <w:tabs>
          <w:tab w:val="num" w:pos="720"/>
        </w:tabs>
        <w:ind w:left="720" w:hanging="360"/>
      </w:pPr>
      <w:rPr>
        <w:rFonts w:ascii="Ericsson Hilda" w:hAnsi="Ericsson Hilda" w:hint="default"/>
      </w:rPr>
    </w:lvl>
    <w:lvl w:ilvl="1" w:tplc="6694D23C" w:tentative="1">
      <w:start w:val="1"/>
      <w:numFmt w:val="bullet"/>
      <w:lvlText w:val="●"/>
      <w:lvlJc w:val="left"/>
      <w:pPr>
        <w:tabs>
          <w:tab w:val="num" w:pos="1440"/>
        </w:tabs>
        <w:ind w:left="1440" w:hanging="360"/>
      </w:pPr>
      <w:rPr>
        <w:rFonts w:ascii="Ericsson Hilda" w:hAnsi="Ericsson Hilda" w:hint="default"/>
      </w:rPr>
    </w:lvl>
    <w:lvl w:ilvl="2" w:tplc="CA5CE70C">
      <w:start w:val="1"/>
      <w:numFmt w:val="bullet"/>
      <w:lvlText w:val="●"/>
      <w:lvlJc w:val="left"/>
      <w:pPr>
        <w:tabs>
          <w:tab w:val="num" w:pos="2160"/>
        </w:tabs>
        <w:ind w:left="2160" w:hanging="360"/>
      </w:pPr>
      <w:rPr>
        <w:rFonts w:ascii="Ericsson Hilda" w:hAnsi="Ericsson Hilda" w:hint="default"/>
      </w:rPr>
    </w:lvl>
    <w:lvl w:ilvl="3" w:tplc="33E2D802">
      <w:numFmt w:val="bullet"/>
      <w:lvlText w:val="●"/>
      <w:lvlJc w:val="left"/>
      <w:pPr>
        <w:tabs>
          <w:tab w:val="num" w:pos="2880"/>
        </w:tabs>
        <w:ind w:left="2880" w:hanging="360"/>
      </w:pPr>
      <w:rPr>
        <w:rFonts w:ascii="Ericsson Hilda" w:hAnsi="Ericsson Hilda" w:hint="default"/>
      </w:rPr>
    </w:lvl>
    <w:lvl w:ilvl="4" w:tplc="6DC2366A" w:tentative="1">
      <w:start w:val="1"/>
      <w:numFmt w:val="bullet"/>
      <w:lvlText w:val="●"/>
      <w:lvlJc w:val="left"/>
      <w:pPr>
        <w:tabs>
          <w:tab w:val="num" w:pos="3600"/>
        </w:tabs>
        <w:ind w:left="3600" w:hanging="360"/>
      </w:pPr>
      <w:rPr>
        <w:rFonts w:ascii="Ericsson Hilda" w:hAnsi="Ericsson Hilda" w:hint="default"/>
      </w:rPr>
    </w:lvl>
    <w:lvl w:ilvl="5" w:tplc="ED4AF008" w:tentative="1">
      <w:start w:val="1"/>
      <w:numFmt w:val="bullet"/>
      <w:lvlText w:val="●"/>
      <w:lvlJc w:val="left"/>
      <w:pPr>
        <w:tabs>
          <w:tab w:val="num" w:pos="4320"/>
        </w:tabs>
        <w:ind w:left="4320" w:hanging="360"/>
      </w:pPr>
      <w:rPr>
        <w:rFonts w:ascii="Ericsson Hilda" w:hAnsi="Ericsson Hilda" w:hint="default"/>
      </w:rPr>
    </w:lvl>
    <w:lvl w:ilvl="6" w:tplc="2A16FE90" w:tentative="1">
      <w:start w:val="1"/>
      <w:numFmt w:val="bullet"/>
      <w:lvlText w:val="●"/>
      <w:lvlJc w:val="left"/>
      <w:pPr>
        <w:tabs>
          <w:tab w:val="num" w:pos="5040"/>
        </w:tabs>
        <w:ind w:left="5040" w:hanging="360"/>
      </w:pPr>
      <w:rPr>
        <w:rFonts w:ascii="Ericsson Hilda" w:hAnsi="Ericsson Hilda" w:hint="default"/>
      </w:rPr>
    </w:lvl>
    <w:lvl w:ilvl="7" w:tplc="9BA20FA0" w:tentative="1">
      <w:start w:val="1"/>
      <w:numFmt w:val="bullet"/>
      <w:lvlText w:val="●"/>
      <w:lvlJc w:val="left"/>
      <w:pPr>
        <w:tabs>
          <w:tab w:val="num" w:pos="5760"/>
        </w:tabs>
        <w:ind w:left="5760" w:hanging="360"/>
      </w:pPr>
      <w:rPr>
        <w:rFonts w:ascii="Ericsson Hilda" w:hAnsi="Ericsson Hilda" w:hint="default"/>
      </w:rPr>
    </w:lvl>
    <w:lvl w:ilvl="8" w:tplc="B4CA376C"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2A6061CF"/>
    <w:multiLevelType w:val="hybridMultilevel"/>
    <w:tmpl w:val="261E98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DB6567E"/>
    <w:multiLevelType w:val="hybridMultilevel"/>
    <w:tmpl w:val="E91A261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E67ACB"/>
    <w:multiLevelType w:val="hybridMultilevel"/>
    <w:tmpl w:val="01B6F57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0214"/>
        </w:tabs>
        <w:ind w:left="1021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2503168"/>
    <w:multiLevelType w:val="hybridMultilevel"/>
    <w:tmpl w:val="73BC909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2B26AA9"/>
    <w:multiLevelType w:val="hybridMultilevel"/>
    <w:tmpl w:val="4DAAD1BE"/>
    <w:lvl w:ilvl="0" w:tplc="11E8670A">
      <w:start w:val="1"/>
      <w:numFmt w:val="bullet"/>
      <w:lvlText w:val="●"/>
      <w:lvlJc w:val="left"/>
      <w:pPr>
        <w:tabs>
          <w:tab w:val="num" w:pos="720"/>
        </w:tabs>
        <w:ind w:left="720" w:hanging="360"/>
      </w:pPr>
      <w:rPr>
        <w:rFonts w:ascii="Ericsson Hilda" w:hAnsi="Ericsson Hilda" w:hint="default"/>
      </w:rPr>
    </w:lvl>
    <w:lvl w:ilvl="1" w:tplc="5678A8C8">
      <w:numFmt w:val="bullet"/>
      <w:lvlText w:val="●"/>
      <w:lvlJc w:val="left"/>
      <w:pPr>
        <w:tabs>
          <w:tab w:val="num" w:pos="1440"/>
        </w:tabs>
        <w:ind w:left="1440" w:hanging="360"/>
      </w:pPr>
      <w:rPr>
        <w:rFonts w:ascii="Ericsson Hilda" w:hAnsi="Ericsson Hilda" w:hint="default"/>
      </w:rPr>
    </w:lvl>
    <w:lvl w:ilvl="2" w:tplc="9B161E6E">
      <w:numFmt w:val="bullet"/>
      <w:lvlText w:val="●"/>
      <w:lvlJc w:val="left"/>
      <w:pPr>
        <w:tabs>
          <w:tab w:val="num" w:pos="2160"/>
        </w:tabs>
        <w:ind w:left="2160" w:hanging="360"/>
      </w:pPr>
      <w:rPr>
        <w:rFonts w:ascii="Ericsson Hilda" w:hAnsi="Ericsson Hilda" w:hint="default"/>
      </w:rPr>
    </w:lvl>
    <w:lvl w:ilvl="3" w:tplc="D2D8249A">
      <w:numFmt w:val="bullet"/>
      <w:lvlText w:val="●"/>
      <w:lvlJc w:val="left"/>
      <w:pPr>
        <w:tabs>
          <w:tab w:val="num" w:pos="2880"/>
        </w:tabs>
        <w:ind w:left="2880" w:hanging="360"/>
      </w:pPr>
      <w:rPr>
        <w:rFonts w:ascii="Ericsson Hilda" w:hAnsi="Ericsson Hilda" w:hint="default"/>
      </w:rPr>
    </w:lvl>
    <w:lvl w:ilvl="4" w:tplc="86388C80" w:tentative="1">
      <w:start w:val="1"/>
      <w:numFmt w:val="bullet"/>
      <w:lvlText w:val="●"/>
      <w:lvlJc w:val="left"/>
      <w:pPr>
        <w:tabs>
          <w:tab w:val="num" w:pos="3600"/>
        </w:tabs>
        <w:ind w:left="3600" w:hanging="360"/>
      </w:pPr>
      <w:rPr>
        <w:rFonts w:ascii="Ericsson Hilda" w:hAnsi="Ericsson Hilda" w:hint="default"/>
      </w:rPr>
    </w:lvl>
    <w:lvl w:ilvl="5" w:tplc="719E4608" w:tentative="1">
      <w:start w:val="1"/>
      <w:numFmt w:val="bullet"/>
      <w:lvlText w:val="●"/>
      <w:lvlJc w:val="left"/>
      <w:pPr>
        <w:tabs>
          <w:tab w:val="num" w:pos="4320"/>
        </w:tabs>
        <w:ind w:left="4320" w:hanging="360"/>
      </w:pPr>
      <w:rPr>
        <w:rFonts w:ascii="Ericsson Hilda" w:hAnsi="Ericsson Hilda" w:hint="default"/>
      </w:rPr>
    </w:lvl>
    <w:lvl w:ilvl="6" w:tplc="30B297B2" w:tentative="1">
      <w:start w:val="1"/>
      <w:numFmt w:val="bullet"/>
      <w:lvlText w:val="●"/>
      <w:lvlJc w:val="left"/>
      <w:pPr>
        <w:tabs>
          <w:tab w:val="num" w:pos="5040"/>
        </w:tabs>
        <w:ind w:left="5040" w:hanging="360"/>
      </w:pPr>
      <w:rPr>
        <w:rFonts w:ascii="Ericsson Hilda" w:hAnsi="Ericsson Hilda" w:hint="default"/>
      </w:rPr>
    </w:lvl>
    <w:lvl w:ilvl="7" w:tplc="F8240706" w:tentative="1">
      <w:start w:val="1"/>
      <w:numFmt w:val="bullet"/>
      <w:lvlText w:val="●"/>
      <w:lvlJc w:val="left"/>
      <w:pPr>
        <w:tabs>
          <w:tab w:val="num" w:pos="5760"/>
        </w:tabs>
        <w:ind w:left="5760" w:hanging="360"/>
      </w:pPr>
      <w:rPr>
        <w:rFonts w:ascii="Ericsson Hilda" w:hAnsi="Ericsson Hilda" w:hint="default"/>
      </w:rPr>
    </w:lvl>
    <w:lvl w:ilvl="8" w:tplc="F1480572"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8A0B78"/>
    <w:multiLevelType w:val="hybridMultilevel"/>
    <w:tmpl w:val="6062F870"/>
    <w:lvl w:ilvl="0" w:tplc="C1D0FF6C">
      <w:start w:val="1"/>
      <w:numFmt w:val="bullet"/>
      <w:lvlText w:val="●"/>
      <w:lvlJc w:val="left"/>
      <w:pPr>
        <w:tabs>
          <w:tab w:val="num" w:pos="720"/>
        </w:tabs>
        <w:ind w:left="720" w:hanging="360"/>
      </w:pPr>
      <w:rPr>
        <w:rFonts w:ascii="Ericsson Hilda" w:hAnsi="Ericsson Hilda" w:hint="default"/>
      </w:rPr>
    </w:lvl>
    <w:lvl w:ilvl="1" w:tplc="66FE9F86">
      <w:start w:val="1"/>
      <w:numFmt w:val="bullet"/>
      <w:lvlText w:val="●"/>
      <w:lvlJc w:val="left"/>
      <w:pPr>
        <w:tabs>
          <w:tab w:val="num" w:pos="1440"/>
        </w:tabs>
        <w:ind w:left="1440" w:hanging="360"/>
      </w:pPr>
      <w:rPr>
        <w:rFonts w:ascii="Ericsson Hilda" w:hAnsi="Ericsson Hilda" w:hint="default"/>
      </w:rPr>
    </w:lvl>
    <w:lvl w:ilvl="2" w:tplc="81E0E9B0">
      <w:numFmt w:val="bullet"/>
      <w:lvlText w:val="●"/>
      <w:lvlJc w:val="left"/>
      <w:pPr>
        <w:tabs>
          <w:tab w:val="num" w:pos="2160"/>
        </w:tabs>
        <w:ind w:left="2160" w:hanging="360"/>
      </w:pPr>
      <w:rPr>
        <w:rFonts w:ascii="Ericsson Hilda" w:hAnsi="Ericsson Hilda" w:hint="default"/>
      </w:rPr>
    </w:lvl>
    <w:lvl w:ilvl="3" w:tplc="B8E24772">
      <w:numFmt w:val="bullet"/>
      <w:lvlText w:val="●"/>
      <w:lvlJc w:val="left"/>
      <w:pPr>
        <w:tabs>
          <w:tab w:val="num" w:pos="2880"/>
        </w:tabs>
        <w:ind w:left="2880" w:hanging="360"/>
      </w:pPr>
      <w:rPr>
        <w:rFonts w:ascii="Ericsson Hilda" w:hAnsi="Ericsson Hilda" w:hint="default"/>
      </w:rPr>
    </w:lvl>
    <w:lvl w:ilvl="4" w:tplc="57FA80C2" w:tentative="1">
      <w:start w:val="1"/>
      <w:numFmt w:val="bullet"/>
      <w:lvlText w:val="●"/>
      <w:lvlJc w:val="left"/>
      <w:pPr>
        <w:tabs>
          <w:tab w:val="num" w:pos="3600"/>
        </w:tabs>
        <w:ind w:left="3600" w:hanging="360"/>
      </w:pPr>
      <w:rPr>
        <w:rFonts w:ascii="Ericsson Hilda" w:hAnsi="Ericsson Hilda" w:hint="default"/>
      </w:rPr>
    </w:lvl>
    <w:lvl w:ilvl="5" w:tplc="2FB8230A" w:tentative="1">
      <w:start w:val="1"/>
      <w:numFmt w:val="bullet"/>
      <w:lvlText w:val="●"/>
      <w:lvlJc w:val="left"/>
      <w:pPr>
        <w:tabs>
          <w:tab w:val="num" w:pos="4320"/>
        </w:tabs>
        <w:ind w:left="4320" w:hanging="360"/>
      </w:pPr>
      <w:rPr>
        <w:rFonts w:ascii="Ericsson Hilda" w:hAnsi="Ericsson Hilda" w:hint="default"/>
      </w:rPr>
    </w:lvl>
    <w:lvl w:ilvl="6" w:tplc="83A0F0B0" w:tentative="1">
      <w:start w:val="1"/>
      <w:numFmt w:val="bullet"/>
      <w:lvlText w:val="●"/>
      <w:lvlJc w:val="left"/>
      <w:pPr>
        <w:tabs>
          <w:tab w:val="num" w:pos="5040"/>
        </w:tabs>
        <w:ind w:left="5040" w:hanging="360"/>
      </w:pPr>
      <w:rPr>
        <w:rFonts w:ascii="Ericsson Hilda" w:hAnsi="Ericsson Hilda" w:hint="default"/>
      </w:rPr>
    </w:lvl>
    <w:lvl w:ilvl="7" w:tplc="1D687E54" w:tentative="1">
      <w:start w:val="1"/>
      <w:numFmt w:val="bullet"/>
      <w:lvlText w:val="●"/>
      <w:lvlJc w:val="left"/>
      <w:pPr>
        <w:tabs>
          <w:tab w:val="num" w:pos="5760"/>
        </w:tabs>
        <w:ind w:left="5760" w:hanging="360"/>
      </w:pPr>
      <w:rPr>
        <w:rFonts w:ascii="Ericsson Hilda" w:hAnsi="Ericsson Hilda" w:hint="default"/>
      </w:rPr>
    </w:lvl>
    <w:lvl w:ilvl="8" w:tplc="F27E78DA"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03527B5"/>
    <w:multiLevelType w:val="hybridMultilevel"/>
    <w:tmpl w:val="2E1069DE"/>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5" w15:restartNumberingAfterBreak="0">
    <w:nsid w:val="675733FC"/>
    <w:multiLevelType w:val="hybridMultilevel"/>
    <w:tmpl w:val="EA740F7A"/>
    <w:lvl w:ilvl="0" w:tplc="2C5C51F8">
      <w:start w:val="1"/>
      <w:numFmt w:val="bullet"/>
      <w:lvlText w:val="●"/>
      <w:lvlJc w:val="left"/>
      <w:pPr>
        <w:tabs>
          <w:tab w:val="num" w:pos="720"/>
        </w:tabs>
        <w:ind w:left="720" w:hanging="360"/>
      </w:pPr>
      <w:rPr>
        <w:rFonts w:ascii="Ericsson Hilda" w:hAnsi="Ericsson Hilda" w:hint="default"/>
      </w:rPr>
    </w:lvl>
    <w:lvl w:ilvl="1" w:tplc="0776AC7C">
      <w:start w:val="1"/>
      <w:numFmt w:val="bullet"/>
      <w:lvlText w:val="●"/>
      <w:lvlJc w:val="left"/>
      <w:pPr>
        <w:tabs>
          <w:tab w:val="num" w:pos="1440"/>
        </w:tabs>
        <w:ind w:left="1440" w:hanging="360"/>
      </w:pPr>
      <w:rPr>
        <w:rFonts w:ascii="Ericsson Hilda" w:hAnsi="Ericsson Hilda" w:hint="default"/>
      </w:rPr>
    </w:lvl>
    <w:lvl w:ilvl="2" w:tplc="BC6607CC">
      <w:numFmt w:val="bullet"/>
      <w:lvlText w:val="●"/>
      <w:lvlJc w:val="left"/>
      <w:pPr>
        <w:tabs>
          <w:tab w:val="num" w:pos="2160"/>
        </w:tabs>
        <w:ind w:left="2160" w:hanging="360"/>
      </w:pPr>
      <w:rPr>
        <w:rFonts w:ascii="Ericsson Hilda" w:hAnsi="Ericsson Hilda" w:hint="default"/>
      </w:rPr>
    </w:lvl>
    <w:lvl w:ilvl="3" w:tplc="A0C4F404" w:tentative="1">
      <w:start w:val="1"/>
      <w:numFmt w:val="bullet"/>
      <w:lvlText w:val="●"/>
      <w:lvlJc w:val="left"/>
      <w:pPr>
        <w:tabs>
          <w:tab w:val="num" w:pos="2880"/>
        </w:tabs>
        <w:ind w:left="2880" w:hanging="360"/>
      </w:pPr>
      <w:rPr>
        <w:rFonts w:ascii="Ericsson Hilda" w:hAnsi="Ericsson Hilda" w:hint="default"/>
      </w:rPr>
    </w:lvl>
    <w:lvl w:ilvl="4" w:tplc="E65CF460" w:tentative="1">
      <w:start w:val="1"/>
      <w:numFmt w:val="bullet"/>
      <w:lvlText w:val="●"/>
      <w:lvlJc w:val="left"/>
      <w:pPr>
        <w:tabs>
          <w:tab w:val="num" w:pos="3600"/>
        </w:tabs>
        <w:ind w:left="3600" w:hanging="360"/>
      </w:pPr>
      <w:rPr>
        <w:rFonts w:ascii="Ericsson Hilda" w:hAnsi="Ericsson Hilda" w:hint="default"/>
      </w:rPr>
    </w:lvl>
    <w:lvl w:ilvl="5" w:tplc="C6ECE426" w:tentative="1">
      <w:start w:val="1"/>
      <w:numFmt w:val="bullet"/>
      <w:lvlText w:val="●"/>
      <w:lvlJc w:val="left"/>
      <w:pPr>
        <w:tabs>
          <w:tab w:val="num" w:pos="4320"/>
        </w:tabs>
        <w:ind w:left="4320" w:hanging="360"/>
      </w:pPr>
      <w:rPr>
        <w:rFonts w:ascii="Ericsson Hilda" w:hAnsi="Ericsson Hilda" w:hint="default"/>
      </w:rPr>
    </w:lvl>
    <w:lvl w:ilvl="6" w:tplc="2F262894" w:tentative="1">
      <w:start w:val="1"/>
      <w:numFmt w:val="bullet"/>
      <w:lvlText w:val="●"/>
      <w:lvlJc w:val="left"/>
      <w:pPr>
        <w:tabs>
          <w:tab w:val="num" w:pos="5040"/>
        </w:tabs>
        <w:ind w:left="5040" w:hanging="360"/>
      </w:pPr>
      <w:rPr>
        <w:rFonts w:ascii="Ericsson Hilda" w:hAnsi="Ericsson Hilda" w:hint="default"/>
      </w:rPr>
    </w:lvl>
    <w:lvl w:ilvl="7" w:tplc="1660BC68" w:tentative="1">
      <w:start w:val="1"/>
      <w:numFmt w:val="bullet"/>
      <w:lvlText w:val="●"/>
      <w:lvlJc w:val="left"/>
      <w:pPr>
        <w:tabs>
          <w:tab w:val="num" w:pos="5760"/>
        </w:tabs>
        <w:ind w:left="5760" w:hanging="360"/>
      </w:pPr>
      <w:rPr>
        <w:rFonts w:ascii="Ericsson Hilda" w:hAnsi="Ericsson Hilda" w:hint="default"/>
      </w:rPr>
    </w:lvl>
    <w:lvl w:ilvl="8" w:tplc="782EFBEA" w:tentative="1">
      <w:start w:val="1"/>
      <w:numFmt w:val="bullet"/>
      <w:lvlText w:val="●"/>
      <w:lvlJc w:val="left"/>
      <w:pPr>
        <w:tabs>
          <w:tab w:val="num" w:pos="6480"/>
        </w:tabs>
        <w:ind w:left="6480" w:hanging="360"/>
      </w:pPr>
      <w:rPr>
        <w:rFonts w:ascii="Ericsson Hilda" w:hAnsi="Ericsson Hilda" w:hint="default"/>
      </w:rPr>
    </w:lvl>
  </w:abstractNum>
  <w:abstractNum w:abstractNumId="36" w15:restartNumberingAfterBreak="0">
    <w:nsid w:val="69DF57A3"/>
    <w:multiLevelType w:val="multilevel"/>
    <w:tmpl w:val="EBA6BDC0"/>
    <w:lvl w:ilvl="0">
      <w:start w:val="1"/>
      <w:numFmt w:val="decimal"/>
      <w:lvlText w:val="%1."/>
      <w:lvlJc w:val="left"/>
      <w:pPr>
        <w:ind w:left="720" w:hanging="360"/>
      </w:pPr>
    </w:lvl>
    <w:lvl w:ilvl="1">
      <w:start w:val="1"/>
      <w:numFmt w:val="decimal"/>
      <w:isLgl/>
      <w:lvlText w:val="%1.%2."/>
      <w:lvlJc w:val="left"/>
      <w:pPr>
        <w:ind w:left="1440" w:hanging="360"/>
      </w:pPr>
    </w:lvl>
    <w:lvl w:ilvl="2">
      <w:start w:val="1"/>
      <w:numFmt w:val="decimal"/>
      <w:isLgl/>
      <w:lvlText w:val="%1.%2.%3."/>
      <w:lvlJc w:val="left"/>
      <w:pPr>
        <w:ind w:left="2520" w:hanging="720"/>
      </w:pPr>
    </w:lvl>
    <w:lvl w:ilvl="3">
      <w:start w:val="1"/>
      <w:numFmt w:val="decimal"/>
      <w:isLgl/>
      <w:lvlText w:val="%1.%2.%3.%4."/>
      <w:lvlJc w:val="left"/>
      <w:pPr>
        <w:ind w:left="3240" w:hanging="720"/>
      </w:pPr>
    </w:lvl>
    <w:lvl w:ilvl="4">
      <w:start w:val="1"/>
      <w:numFmt w:val="decimal"/>
      <w:isLgl/>
      <w:lvlText w:val="%1.%2.%3.%4.%5."/>
      <w:lvlJc w:val="left"/>
      <w:pPr>
        <w:ind w:left="4320" w:hanging="1080"/>
      </w:pPr>
    </w:lvl>
    <w:lvl w:ilvl="5">
      <w:start w:val="1"/>
      <w:numFmt w:val="decimal"/>
      <w:isLgl/>
      <w:lvlText w:val="%1.%2.%3.%4.%5.%6."/>
      <w:lvlJc w:val="left"/>
      <w:pPr>
        <w:ind w:left="5040" w:hanging="1080"/>
      </w:pPr>
    </w:lvl>
    <w:lvl w:ilvl="6">
      <w:start w:val="1"/>
      <w:numFmt w:val="decimal"/>
      <w:isLgl/>
      <w:lvlText w:val="%1.%2.%3.%4.%5.%6.%7."/>
      <w:lvlJc w:val="left"/>
      <w:pPr>
        <w:ind w:left="6120" w:hanging="1440"/>
      </w:pPr>
    </w:lvl>
    <w:lvl w:ilvl="7">
      <w:start w:val="1"/>
      <w:numFmt w:val="decimal"/>
      <w:isLgl/>
      <w:lvlText w:val="%1.%2.%3.%4.%5.%6.%7.%8."/>
      <w:lvlJc w:val="left"/>
      <w:pPr>
        <w:ind w:left="6840" w:hanging="1440"/>
      </w:pPr>
    </w:lvl>
    <w:lvl w:ilvl="8">
      <w:start w:val="1"/>
      <w:numFmt w:val="decimal"/>
      <w:isLgl/>
      <w:lvlText w:val="%1.%2.%3.%4.%5.%6.%7.%8.%9."/>
      <w:lvlJc w:val="left"/>
      <w:pPr>
        <w:ind w:left="7920" w:hanging="1800"/>
      </w:p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76C2BA9"/>
    <w:multiLevelType w:val="hybridMultilevel"/>
    <w:tmpl w:val="78F49D94"/>
    <w:lvl w:ilvl="0" w:tplc="CA20AD56">
      <w:start w:val="1"/>
      <w:numFmt w:val="bullet"/>
      <w:lvlText w:val="●"/>
      <w:lvlJc w:val="left"/>
      <w:pPr>
        <w:tabs>
          <w:tab w:val="num" w:pos="720"/>
        </w:tabs>
        <w:ind w:left="720" w:hanging="360"/>
      </w:pPr>
      <w:rPr>
        <w:rFonts w:ascii="Ericsson Hilda" w:hAnsi="Ericsson Hilda" w:hint="default"/>
      </w:rPr>
    </w:lvl>
    <w:lvl w:ilvl="1" w:tplc="657A8180">
      <w:start w:val="1"/>
      <w:numFmt w:val="bullet"/>
      <w:lvlText w:val="●"/>
      <w:lvlJc w:val="left"/>
      <w:pPr>
        <w:tabs>
          <w:tab w:val="num" w:pos="1440"/>
        </w:tabs>
        <w:ind w:left="1440" w:hanging="360"/>
      </w:pPr>
      <w:rPr>
        <w:rFonts w:ascii="Ericsson Hilda" w:hAnsi="Ericsson Hilda" w:hint="default"/>
      </w:rPr>
    </w:lvl>
    <w:lvl w:ilvl="2" w:tplc="A34AE29C" w:tentative="1">
      <w:start w:val="1"/>
      <w:numFmt w:val="bullet"/>
      <w:lvlText w:val="●"/>
      <w:lvlJc w:val="left"/>
      <w:pPr>
        <w:tabs>
          <w:tab w:val="num" w:pos="2160"/>
        </w:tabs>
        <w:ind w:left="2160" w:hanging="360"/>
      </w:pPr>
      <w:rPr>
        <w:rFonts w:ascii="Ericsson Hilda" w:hAnsi="Ericsson Hilda" w:hint="default"/>
      </w:rPr>
    </w:lvl>
    <w:lvl w:ilvl="3" w:tplc="F4F2A05A" w:tentative="1">
      <w:start w:val="1"/>
      <w:numFmt w:val="bullet"/>
      <w:lvlText w:val="●"/>
      <w:lvlJc w:val="left"/>
      <w:pPr>
        <w:tabs>
          <w:tab w:val="num" w:pos="2880"/>
        </w:tabs>
        <w:ind w:left="2880" w:hanging="360"/>
      </w:pPr>
      <w:rPr>
        <w:rFonts w:ascii="Ericsson Hilda" w:hAnsi="Ericsson Hilda" w:hint="default"/>
      </w:rPr>
    </w:lvl>
    <w:lvl w:ilvl="4" w:tplc="045C8446" w:tentative="1">
      <w:start w:val="1"/>
      <w:numFmt w:val="bullet"/>
      <w:lvlText w:val="●"/>
      <w:lvlJc w:val="left"/>
      <w:pPr>
        <w:tabs>
          <w:tab w:val="num" w:pos="3600"/>
        </w:tabs>
        <w:ind w:left="3600" w:hanging="360"/>
      </w:pPr>
      <w:rPr>
        <w:rFonts w:ascii="Ericsson Hilda" w:hAnsi="Ericsson Hilda" w:hint="default"/>
      </w:rPr>
    </w:lvl>
    <w:lvl w:ilvl="5" w:tplc="CF8CEE52" w:tentative="1">
      <w:start w:val="1"/>
      <w:numFmt w:val="bullet"/>
      <w:lvlText w:val="●"/>
      <w:lvlJc w:val="left"/>
      <w:pPr>
        <w:tabs>
          <w:tab w:val="num" w:pos="4320"/>
        </w:tabs>
        <w:ind w:left="4320" w:hanging="360"/>
      </w:pPr>
      <w:rPr>
        <w:rFonts w:ascii="Ericsson Hilda" w:hAnsi="Ericsson Hilda" w:hint="default"/>
      </w:rPr>
    </w:lvl>
    <w:lvl w:ilvl="6" w:tplc="7F6013AA" w:tentative="1">
      <w:start w:val="1"/>
      <w:numFmt w:val="bullet"/>
      <w:lvlText w:val="●"/>
      <w:lvlJc w:val="left"/>
      <w:pPr>
        <w:tabs>
          <w:tab w:val="num" w:pos="5040"/>
        </w:tabs>
        <w:ind w:left="5040" w:hanging="360"/>
      </w:pPr>
      <w:rPr>
        <w:rFonts w:ascii="Ericsson Hilda" w:hAnsi="Ericsson Hilda" w:hint="default"/>
      </w:rPr>
    </w:lvl>
    <w:lvl w:ilvl="7" w:tplc="A6384430" w:tentative="1">
      <w:start w:val="1"/>
      <w:numFmt w:val="bullet"/>
      <w:lvlText w:val="●"/>
      <w:lvlJc w:val="left"/>
      <w:pPr>
        <w:tabs>
          <w:tab w:val="num" w:pos="5760"/>
        </w:tabs>
        <w:ind w:left="5760" w:hanging="360"/>
      </w:pPr>
      <w:rPr>
        <w:rFonts w:ascii="Ericsson Hilda" w:hAnsi="Ericsson Hilda" w:hint="default"/>
      </w:rPr>
    </w:lvl>
    <w:lvl w:ilvl="8" w:tplc="37B6B9A8" w:tentative="1">
      <w:start w:val="1"/>
      <w:numFmt w:val="bullet"/>
      <w:lvlText w:val="●"/>
      <w:lvlJc w:val="left"/>
      <w:pPr>
        <w:tabs>
          <w:tab w:val="num" w:pos="6480"/>
        </w:tabs>
        <w:ind w:left="6480" w:hanging="360"/>
      </w:pPr>
      <w:rPr>
        <w:rFonts w:ascii="Ericsson Hilda" w:hAnsi="Ericsson Hilda" w:hint="default"/>
      </w:rPr>
    </w:lvl>
  </w:abstractNum>
  <w:num w:numId="1">
    <w:abstractNumId w:val="3"/>
  </w:num>
  <w:num w:numId="2">
    <w:abstractNumId w:val="28"/>
  </w:num>
  <w:num w:numId="3">
    <w:abstractNumId w:val="22"/>
  </w:num>
  <w:num w:numId="4">
    <w:abstractNumId w:val="23"/>
  </w:num>
  <w:num w:numId="5">
    <w:abstractNumId w:val="18"/>
  </w:num>
  <w:num w:numId="6">
    <w:abstractNumId w:val="27"/>
  </w:num>
  <w:num w:numId="7">
    <w:abstractNumId w:val="32"/>
  </w:num>
  <w:num w:numId="8">
    <w:abstractNumId w:val="19"/>
  </w:num>
  <w:num w:numId="9">
    <w:abstractNumId w:val="16"/>
  </w:num>
  <w:num w:numId="10">
    <w:abstractNumId w:val="2"/>
  </w:num>
  <w:num w:numId="11">
    <w:abstractNumId w:val="1"/>
  </w:num>
  <w:num w:numId="12">
    <w:abstractNumId w:val="0"/>
  </w:num>
  <w:num w:numId="13">
    <w:abstractNumId w:val="29"/>
  </w:num>
  <w:num w:numId="14">
    <w:abstractNumId w:val="30"/>
  </w:num>
  <w:num w:numId="15">
    <w:abstractNumId w:val="24"/>
  </w:num>
  <w:num w:numId="16">
    <w:abstractNumId w:val="33"/>
  </w:num>
  <w:num w:numId="17">
    <w:abstractNumId w:val="11"/>
  </w:num>
  <w:num w:numId="18">
    <w:abstractNumId w:val="12"/>
  </w:num>
  <w:num w:numId="19">
    <w:abstractNumId w:val="7"/>
  </w:num>
  <w:num w:numId="20">
    <w:abstractNumId w:val="38"/>
  </w:num>
  <w:num w:numId="21">
    <w:abstractNumId w:val="20"/>
  </w:num>
  <w:num w:numId="22">
    <w:abstractNumId w:val="37"/>
  </w:num>
  <w:num w:numId="23">
    <w:abstractNumId w:val="8"/>
  </w:num>
  <w:num w:numId="24">
    <w:abstractNumId w:val="4"/>
  </w:num>
  <w:num w:numId="25">
    <w:abstractNumId w:val="9"/>
  </w:num>
  <w:num w:numId="26">
    <w:abstractNumId w:val="6"/>
  </w:num>
  <w:num w:numId="27">
    <w:abstractNumId w:val="34"/>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22"/>
  </w:num>
  <w:num w:numId="31">
    <w:abstractNumId w:val="22"/>
  </w:num>
  <w:num w:numId="32">
    <w:abstractNumId w:val="29"/>
  </w:num>
  <w:num w:numId="33">
    <w:abstractNumId w:val="15"/>
  </w:num>
  <w:num w:numId="34">
    <w:abstractNumId w:val="13"/>
  </w:num>
  <w:num w:numId="35">
    <w:abstractNumId w:val="5"/>
  </w:num>
  <w:num w:numId="36">
    <w:abstractNumId w:val="35"/>
  </w:num>
  <w:num w:numId="37">
    <w:abstractNumId w:val="39"/>
  </w:num>
  <w:num w:numId="38">
    <w:abstractNumId w:val="26"/>
  </w:num>
  <w:num w:numId="39">
    <w:abstractNumId w:val="31"/>
  </w:num>
  <w:num w:numId="40">
    <w:abstractNumId w:val="14"/>
  </w:num>
  <w:num w:numId="41">
    <w:abstractNumId w:val="21"/>
  </w:num>
  <w:num w:numId="42">
    <w:abstractNumId w:val="17"/>
  </w:num>
  <w:num w:numId="43">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7BA"/>
    <w:rsid w:val="000005B4"/>
    <w:rsid w:val="000006E1"/>
    <w:rsid w:val="00000D8B"/>
    <w:rsid w:val="00002A37"/>
    <w:rsid w:val="0000564C"/>
    <w:rsid w:val="0000573E"/>
    <w:rsid w:val="00006446"/>
    <w:rsid w:val="00006896"/>
    <w:rsid w:val="00007B42"/>
    <w:rsid w:val="00007CDC"/>
    <w:rsid w:val="00011B28"/>
    <w:rsid w:val="00014EA5"/>
    <w:rsid w:val="0001509F"/>
    <w:rsid w:val="00015C13"/>
    <w:rsid w:val="00015D15"/>
    <w:rsid w:val="00020720"/>
    <w:rsid w:val="00021BA2"/>
    <w:rsid w:val="00021BE5"/>
    <w:rsid w:val="00022FC0"/>
    <w:rsid w:val="0002488F"/>
    <w:rsid w:val="0002521D"/>
    <w:rsid w:val="000252BC"/>
    <w:rsid w:val="00025360"/>
    <w:rsid w:val="0002564D"/>
    <w:rsid w:val="00025ECA"/>
    <w:rsid w:val="0002612F"/>
    <w:rsid w:val="000325B8"/>
    <w:rsid w:val="00032874"/>
    <w:rsid w:val="00034C15"/>
    <w:rsid w:val="00034CD4"/>
    <w:rsid w:val="000351F2"/>
    <w:rsid w:val="00036ADD"/>
    <w:rsid w:val="00036BA1"/>
    <w:rsid w:val="0003745D"/>
    <w:rsid w:val="00037B52"/>
    <w:rsid w:val="00037D76"/>
    <w:rsid w:val="000414AA"/>
    <w:rsid w:val="000422E2"/>
    <w:rsid w:val="00042F22"/>
    <w:rsid w:val="000444EF"/>
    <w:rsid w:val="00044AD0"/>
    <w:rsid w:val="00044D16"/>
    <w:rsid w:val="00045789"/>
    <w:rsid w:val="000466EE"/>
    <w:rsid w:val="00052A07"/>
    <w:rsid w:val="000534E3"/>
    <w:rsid w:val="000543FD"/>
    <w:rsid w:val="0005606A"/>
    <w:rsid w:val="00057117"/>
    <w:rsid w:val="000605A3"/>
    <w:rsid w:val="00061104"/>
    <w:rsid w:val="000616E7"/>
    <w:rsid w:val="0006248A"/>
    <w:rsid w:val="0006487E"/>
    <w:rsid w:val="00065E1A"/>
    <w:rsid w:val="00066D8F"/>
    <w:rsid w:val="00075B9A"/>
    <w:rsid w:val="000775F1"/>
    <w:rsid w:val="00077621"/>
    <w:rsid w:val="00077E5F"/>
    <w:rsid w:val="0008036A"/>
    <w:rsid w:val="00081AE6"/>
    <w:rsid w:val="000822A6"/>
    <w:rsid w:val="0008380B"/>
    <w:rsid w:val="000842ED"/>
    <w:rsid w:val="00085016"/>
    <w:rsid w:val="000852C2"/>
    <w:rsid w:val="00085594"/>
    <w:rsid w:val="000855EB"/>
    <w:rsid w:val="00085B52"/>
    <w:rsid w:val="000866F2"/>
    <w:rsid w:val="00087A33"/>
    <w:rsid w:val="0009009F"/>
    <w:rsid w:val="0009054E"/>
    <w:rsid w:val="00091484"/>
    <w:rsid w:val="00091557"/>
    <w:rsid w:val="000924C1"/>
    <w:rsid w:val="000924F0"/>
    <w:rsid w:val="00093474"/>
    <w:rsid w:val="0009510F"/>
    <w:rsid w:val="00095C00"/>
    <w:rsid w:val="000A1B7B"/>
    <w:rsid w:val="000A2F3A"/>
    <w:rsid w:val="000A56F2"/>
    <w:rsid w:val="000B0271"/>
    <w:rsid w:val="000B169F"/>
    <w:rsid w:val="000B2719"/>
    <w:rsid w:val="000B3A8F"/>
    <w:rsid w:val="000B4AB9"/>
    <w:rsid w:val="000B58C3"/>
    <w:rsid w:val="000B61E9"/>
    <w:rsid w:val="000B674E"/>
    <w:rsid w:val="000C056D"/>
    <w:rsid w:val="000C165A"/>
    <w:rsid w:val="000C2618"/>
    <w:rsid w:val="000C2E19"/>
    <w:rsid w:val="000C573B"/>
    <w:rsid w:val="000C58A7"/>
    <w:rsid w:val="000D0732"/>
    <w:rsid w:val="000D0D07"/>
    <w:rsid w:val="000D4797"/>
    <w:rsid w:val="000E0527"/>
    <w:rsid w:val="000E0B70"/>
    <w:rsid w:val="000E1E92"/>
    <w:rsid w:val="000E363F"/>
    <w:rsid w:val="000E4BCA"/>
    <w:rsid w:val="000E5406"/>
    <w:rsid w:val="000E6413"/>
    <w:rsid w:val="000E7934"/>
    <w:rsid w:val="000F060D"/>
    <w:rsid w:val="000F06D6"/>
    <w:rsid w:val="000F0EB1"/>
    <w:rsid w:val="000F1106"/>
    <w:rsid w:val="000F3BE9"/>
    <w:rsid w:val="000F3F6C"/>
    <w:rsid w:val="000F5B74"/>
    <w:rsid w:val="000F6DF3"/>
    <w:rsid w:val="000F7F81"/>
    <w:rsid w:val="001005FF"/>
    <w:rsid w:val="001021C4"/>
    <w:rsid w:val="00103351"/>
    <w:rsid w:val="001036CC"/>
    <w:rsid w:val="001062FB"/>
    <w:rsid w:val="001063E6"/>
    <w:rsid w:val="001101C4"/>
    <w:rsid w:val="0011351D"/>
    <w:rsid w:val="00113CF4"/>
    <w:rsid w:val="001153EA"/>
    <w:rsid w:val="00115643"/>
    <w:rsid w:val="00116027"/>
    <w:rsid w:val="00116765"/>
    <w:rsid w:val="001172B4"/>
    <w:rsid w:val="00117D84"/>
    <w:rsid w:val="001219F5"/>
    <w:rsid w:val="00121A20"/>
    <w:rsid w:val="0012377F"/>
    <w:rsid w:val="00124314"/>
    <w:rsid w:val="00124836"/>
    <w:rsid w:val="00126B4A"/>
    <w:rsid w:val="00126B6A"/>
    <w:rsid w:val="00132FD0"/>
    <w:rsid w:val="00133007"/>
    <w:rsid w:val="001339F7"/>
    <w:rsid w:val="001344C0"/>
    <w:rsid w:val="001346FA"/>
    <w:rsid w:val="00134786"/>
    <w:rsid w:val="00135252"/>
    <w:rsid w:val="00137237"/>
    <w:rsid w:val="00137AB5"/>
    <w:rsid w:val="00137F0B"/>
    <w:rsid w:val="00142F2B"/>
    <w:rsid w:val="00144812"/>
    <w:rsid w:val="0014542A"/>
    <w:rsid w:val="00151E23"/>
    <w:rsid w:val="0015201D"/>
    <w:rsid w:val="001526E0"/>
    <w:rsid w:val="00153138"/>
    <w:rsid w:val="001537EA"/>
    <w:rsid w:val="001551B5"/>
    <w:rsid w:val="001561D2"/>
    <w:rsid w:val="00161885"/>
    <w:rsid w:val="00161C12"/>
    <w:rsid w:val="00162298"/>
    <w:rsid w:val="0016485D"/>
    <w:rsid w:val="001659C1"/>
    <w:rsid w:val="00166F69"/>
    <w:rsid w:val="00170C34"/>
    <w:rsid w:val="00173A8E"/>
    <w:rsid w:val="00174500"/>
    <w:rsid w:val="001745A4"/>
    <w:rsid w:val="00174D0A"/>
    <w:rsid w:val="0017502C"/>
    <w:rsid w:val="0018143F"/>
    <w:rsid w:val="00181FF8"/>
    <w:rsid w:val="00182440"/>
    <w:rsid w:val="0018317E"/>
    <w:rsid w:val="00184EEC"/>
    <w:rsid w:val="00185A03"/>
    <w:rsid w:val="001863B5"/>
    <w:rsid w:val="00187142"/>
    <w:rsid w:val="00187E10"/>
    <w:rsid w:val="001907DF"/>
    <w:rsid w:val="0019095E"/>
    <w:rsid w:val="00190AC1"/>
    <w:rsid w:val="00190CA7"/>
    <w:rsid w:val="00192574"/>
    <w:rsid w:val="00192759"/>
    <w:rsid w:val="0019341A"/>
    <w:rsid w:val="0019680F"/>
    <w:rsid w:val="00197DF9"/>
    <w:rsid w:val="00197ED4"/>
    <w:rsid w:val="001A1987"/>
    <w:rsid w:val="001A19B4"/>
    <w:rsid w:val="001A2564"/>
    <w:rsid w:val="001A34DE"/>
    <w:rsid w:val="001A5C38"/>
    <w:rsid w:val="001A6173"/>
    <w:rsid w:val="001A6975"/>
    <w:rsid w:val="001A6CBA"/>
    <w:rsid w:val="001B0645"/>
    <w:rsid w:val="001B0D97"/>
    <w:rsid w:val="001B313D"/>
    <w:rsid w:val="001B393A"/>
    <w:rsid w:val="001B5A5D"/>
    <w:rsid w:val="001B6CF3"/>
    <w:rsid w:val="001C1CE5"/>
    <w:rsid w:val="001C255C"/>
    <w:rsid w:val="001C3D2A"/>
    <w:rsid w:val="001C3E58"/>
    <w:rsid w:val="001C53D3"/>
    <w:rsid w:val="001C7C6B"/>
    <w:rsid w:val="001D2AA0"/>
    <w:rsid w:val="001D3024"/>
    <w:rsid w:val="001D3108"/>
    <w:rsid w:val="001D51BA"/>
    <w:rsid w:val="001D53E7"/>
    <w:rsid w:val="001D6342"/>
    <w:rsid w:val="001D6D53"/>
    <w:rsid w:val="001D70BB"/>
    <w:rsid w:val="001E0173"/>
    <w:rsid w:val="001E0B1B"/>
    <w:rsid w:val="001E1433"/>
    <w:rsid w:val="001E1AB6"/>
    <w:rsid w:val="001E3F81"/>
    <w:rsid w:val="001E58E2"/>
    <w:rsid w:val="001E7318"/>
    <w:rsid w:val="001E7AED"/>
    <w:rsid w:val="001F3916"/>
    <w:rsid w:val="001F513B"/>
    <w:rsid w:val="001F54C5"/>
    <w:rsid w:val="001F662C"/>
    <w:rsid w:val="001F7074"/>
    <w:rsid w:val="001F7100"/>
    <w:rsid w:val="00200490"/>
    <w:rsid w:val="00201F3A"/>
    <w:rsid w:val="00202684"/>
    <w:rsid w:val="00203F96"/>
    <w:rsid w:val="002069B2"/>
    <w:rsid w:val="002079E4"/>
    <w:rsid w:val="00207A00"/>
    <w:rsid w:val="00207FA3"/>
    <w:rsid w:val="00210562"/>
    <w:rsid w:val="00213F06"/>
    <w:rsid w:val="00214DA8"/>
    <w:rsid w:val="00215423"/>
    <w:rsid w:val="0021551F"/>
    <w:rsid w:val="002158FA"/>
    <w:rsid w:val="00220600"/>
    <w:rsid w:val="0022075A"/>
    <w:rsid w:val="00222375"/>
    <w:rsid w:val="002224DB"/>
    <w:rsid w:val="00222BB0"/>
    <w:rsid w:val="00222C5D"/>
    <w:rsid w:val="002234A9"/>
    <w:rsid w:val="0022374A"/>
    <w:rsid w:val="00223FCB"/>
    <w:rsid w:val="002251A2"/>
    <w:rsid w:val="002252C3"/>
    <w:rsid w:val="00225C54"/>
    <w:rsid w:val="00230765"/>
    <w:rsid w:val="00230D18"/>
    <w:rsid w:val="0023196C"/>
    <w:rsid w:val="002319E4"/>
    <w:rsid w:val="00231B1D"/>
    <w:rsid w:val="00234550"/>
    <w:rsid w:val="002346DB"/>
    <w:rsid w:val="0023505E"/>
    <w:rsid w:val="00235632"/>
    <w:rsid w:val="00235872"/>
    <w:rsid w:val="00235EAC"/>
    <w:rsid w:val="00236934"/>
    <w:rsid w:val="00241559"/>
    <w:rsid w:val="0024307B"/>
    <w:rsid w:val="002435B3"/>
    <w:rsid w:val="0024377A"/>
    <w:rsid w:val="00243D80"/>
    <w:rsid w:val="00244B13"/>
    <w:rsid w:val="002458EB"/>
    <w:rsid w:val="002500C8"/>
    <w:rsid w:val="00251342"/>
    <w:rsid w:val="00255A92"/>
    <w:rsid w:val="00256E29"/>
    <w:rsid w:val="00257543"/>
    <w:rsid w:val="002617E7"/>
    <w:rsid w:val="00263D8C"/>
    <w:rsid w:val="00264228"/>
    <w:rsid w:val="00264334"/>
    <w:rsid w:val="0026473E"/>
    <w:rsid w:val="00266214"/>
    <w:rsid w:val="00267C83"/>
    <w:rsid w:val="00270881"/>
    <w:rsid w:val="0027144F"/>
    <w:rsid w:val="00271813"/>
    <w:rsid w:val="00271F3A"/>
    <w:rsid w:val="00273278"/>
    <w:rsid w:val="002737F4"/>
    <w:rsid w:val="00273E27"/>
    <w:rsid w:val="002754BA"/>
    <w:rsid w:val="002756F6"/>
    <w:rsid w:val="002805F5"/>
    <w:rsid w:val="00280637"/>
    <w:rsid w:val="00280751"/>
    <w:rsid w:val="002822ED"/>
    <w:rsid w:val="0028280A"/>
    <w:rsid w:val="0028281F"/>
    <w:rsid w:val="00283062"/>
    <w:rsid w:val="00285AEE"/>
    <w:rsid w:val="00286680"/>
    <w:rsid w:val="002866C1"/>
    <w:rsid w:val="00286897"/>
    <w:rsid w:val="00286ACD"/>
    <w:rsid w:val="00287838"/>
    <w:rsid w:val="002907B5"/>
    <w:rsid w:val="00290855"/>
    <w:rsid w:val="00291B57"/>
    <w:rsid w:val="00292EB7"/>
    <w:rsid w:val="00293F22"/>
    <w:rsid w:val="00294332"/>
    <w:rsid w:val="00294BC9"/>
    <w:rsid w:val="00296227"/>
    <w:rsid w:val="00296BCF"/>
    <w:rsid w:val="00296F44"/>
    <w:rsid w:val="002974AC"/>
    <w:rsid w:val="0029777D"/>
    <w:rsid w:val="002A02E5"/>
    <w:rsid w:val="002A055E"/>
    <w:rsid w:val="002A1690"/>
    <w:rsid w:val="002A1720"/>
    <w:rsid w:val="002A1D4E"/>
    <w:rsid w:val="002A2201"/>
    <w:rsid w:val="002A2869"/>
    <w:rsid w:val="002A49D3"/>
    <w:rsid w:val="002A5420"/>
    <w:rsid w:val="002A6A22"/>
    <w:rsid w:val="002A7DC5"/>
    <w:rsid w:val="002B137F"/>
    <w:rsid w:val="002B24D6"/>
    <w:rsid w:val="002B2566"/>
    <w:rsid w:val="002B350E"/>
    <w:rsid w:val="002B38BC"/>
    <w:rsid w:val="002B455A"/>
    <w:rsid w:val="002B5C7A"/>
    <w:rsid w:val="002B60B4"/>
    <w:rsid w:val="002C41E6"/>
    <w:rsid w:val="002C45CC"/>
    <w:rsid w:val="002C7A0D"/>
    <w:rsid w:val="002D071A"/>
    <w:rsid w:val="002D2114"/>
    <w:rsid w:val="002D2440"/>
    <w:rsid w:val="002D34B2"/>
    <w:rsid w:val="002D48B0"/>
    <w:rsid w:val="002D5641"/>
    <w:rsid w:val="002D5B37"/>
    <w:rsid w:val="002D698B"/>
    <w:rsid w:val="002D6BD3"/>
    <w:rsid w:val="002D72B0"/>
    <w:rsid w:val="002D7637"/>
    <w:rsid w:val="002E17F2"/>
    <w:rsid w:val="002E36AD"/>
    <w:rsid w:val="002E3CFD"/>
    <w:rsid w:val="002E4ED8"/>
    <w:rsid w:val="002E53B4"/>
    <w:rsid w:val="002E7CAE"/>
    <w:rsid w:val="002F13E4"/>
    <w:rsid w:val="002F2771"/>
    <w:rsid w:val="002F355A"/>
    <w:rsid w:val="002F37A9"/>
    <w:rsid w:val="003017AD"/>
    <w:rsid w:val="00301CE6"/>
    <w:rsid w:val="0030256B"/>
    <w:rsid w:val="00302C7C"/>
    <w:rsid w:val="0030501F"/>
    <w:rsid w:val="00306C0D"/>
    <w:rsid w:val="00307BA1"/>
    <w:rsid w:val="00307C66"/>
    <w:rsid w:val="00310541"/>
    <w:rsid w:val="00311702"/>
    <w:rsid w:val="00311E82"/>
    <w:rsid w:val="00313FCB"/>
    <w:rsid w:val="00313FD6"/>
    <w:rsid w:val="003142C3"/>
    <w:rsid w:val="003143BD"/>
    <w:rsid w:val="003149D6"/>
    <w:rsid w:val="00315363"/>
    <w:rsid w:val="003164D6"/>
    <w:rsid w:val="0031714C"/>
    <w:rsid w:val="0031749A"/>
    <w:rsid w:val="00320016"/>
    <w:rsid w:val="003203ED"/>
    <w:rsid w:val="0032169A"/>
    <w:rsid w:val="00322C9F"/>
    <w:rsid w:val="00322EAC"/>
    <w:rsid w:val="003234B4"/>
    <w:rsid w:val="00324D23"/>
    <w:rsid w:val="003308B0"/>
    <w:rsid w:val="00331751"/>
    <w:rsid w:val="003322E7"/>
    <w:rsid w:val="00334579"/>
    <w:rsid w:val="0033509D"/>
    <w:rsid w:val="00335858"/>
    <w:rsid w:val="003359F1"/>
    <w:rsid w:val="00336BDA"/>
    <w:rsid w:val="003373C1"/>
    <w:rsid w:val="00341B4E"/>
    <w:rsid w:val="00342BD7"/>
    <w:rsid w:val="00343B04"/>
    <w:rsid w:val="00343C64"/>
    <w:rsid w:val="003455D1"/>
    <w:rsid w:val="00346DB5"/>
    <w:rsid w:val="0034760E"/>
    <w:rsid w:val="003477B1"/>
    <w:rsid w:val="00347958"/>
    <w:rsid w:val="003505FD"/>
    <w:rsid w:val="00350AB9"/>
    <w:rsid w:val="0035138F"/>
    <w:rsid w:val="00351B6B"/>
    <w:rsid w:val="00351BE8"/>
    <w:rsid w:val="00354AB0"/>
    <w:rsid w:val="00355F72"/>
    <w:rsid w:val="00357380"/>
    <w:rsid w:val="003576AE"/>
    <w:rsid w:val="003576DB"/>
    <w:rsid w:val="003602D9"/>
    <w:rsid w:val="003604CE"/>
    <w:rsid w:val="003627CF"/>
    <w:rsid w:val="003647DB"/>
    <w:rsid w:val="003651D1"/>
    <w:rsid w:val="00367162"/>
    <w:rsid w:val="003679EC"/>
    <w:rsid w:val="003706E8"/>
    <w:rsid w:val="00370987"/>
    <w:rsid w:val="00370E47"/>
    <w:rsid w:val="003716BA"/>
    <w:rsid w:val="00371DCC"/>
    <w:rsid w:val="003742AC"/>
    <w:rsid w:val="00376D09"/>
    <w:rsid w:val="00377CE1"/>
    <w:rsid w:val="003815BE"/>
    <w:rsid w:val="00381C78"/>
    <w:rsid w:val="00385BF0"/>
    <w:rsid w:val="00390258"/>
    <w:rsid w:val="00390AD0"/>
    <w:rsid w:val="003939FF"/>
    <w:rsid w:val="003946EB"/>
    <w:rsid w:val="00394EBD"/>
    <w:rsid w:val="00397B37"/>
    <w:rsid w:val="003A0CBE"/>
    <w:rsid w:val="003A2223"/>
    <w:rsid w:val="003A2A0F"/>
    <w:rsid w:val="003A330D"/>
    <w:rsid w:val="003A3A70"/>
    <w:rsid w:val="003A45A1"/>
    <w:rsid w:val="003A5B0A"/>
    <w:rsid w:val="003A68C7"/>
    <w:rsid w:val="003A6BAC"/>
    <w:rsid w:val="003A70A4"/>
    <w:rsid w:val="003A71BD"/>
    <w:rsid w:val="003A7EF3"/>
    <w:rsid w:val="003B0AE1"/>
    <w:rsid w:val="003B159C"/>
    <w:rsid w:val="003B220B"/>
    <w:rsid w:val="003B369F"/>
    <w:rsid w:val="003B36A3"/>
    <w:rsid w:val="003B3942"/>
    <w:rsid w:val="003B39FF"/>
    <w:rsid w:val="003B3D03"/>
    <w:rsid w:val="003B3E57"/>
    <w:rsid w:val="003B4177"/>
    <w:rsid w:val="003B495F"/>
    <w:rsid w:val="003B5385"/>
    <w:rsid w:val="003B64BB"/>
    <w:rsid w:val="003B6EE9"/>
    <w:rsid w:val="003B7576"/>
    <w:rsid w:val="003B7FE5"/>
    <w:rsid w:val="003C11C8"/>
    <w:rsid w:val="003C26E7"/>
    <w:rsid w:val="003C2702"/>
    <w:rsid w:val="003C6ADF"/>
    <w:rsid w:val="003C7640"/>
    <w:rsid w:val="003C7806"/>
    <w:rsid w:val="003D0DA2"/>
    <w:rsid w:val="003D109F"/>
    <w:rsid w:val="003D2478"/>
    <w:rsid w:val="003D34CD"/>
    <w:rsid w:val="003D3C45"/>
    <w:rsid w:val="003D5B1F"/>
    <w:rsid w:val="003E15FA"/>
    <w:rsid w:val="003E3573"/>
    <w:rsid w:val="003E55E4"/>
    <w:rsid w:val="003E560D"/>
    <w:rsid w:val="003E6AD5"/>
    <w:rsid w:val="003E6B62"/>
    <w:rsid w:val="003E6D6F"/>
    <w:rsid w:val="003E74E3"/>
    <w:rsid w:val="003F05C7"/>
    <w:rsid w:val="003F1044"/>
    <w:rsid w:val="003F22FB"/>
    <w:rsid w:val="003F2CD4"/>
    <w:rsid w:val="003F6BBE"/>
    <w:rsid w:val="003F7E8D"/>
    <w:rsid w:val="004000E8"/>
    <w:rsid w:val="00401549"/>
    <w:rsid w:val="00402E2B"/>
    <w:rsid w:val="00403C89"/>
    <w:rsid w:val="00404E83"/>
    <w:rsid w:val="0040512B"/>
    <w:rsid w:val="00405CA5"/>
    <w:rsid w:val="00405CE5"/>
    <w:rsid w:val="00407387"/>
    <w:rsid w:val="00407CD3"/>
    <w:rsid w:val="00410134"/>
    <w:rsid w:val="00410B72"/>
    <w:rsid w:val="00410F18"/>
    <w:rsid w:val="0041263E"/>
    <w:rsid w:val="00413546"/>
    <w:rsid w:val="004139FD"/>
    <w:rsid w:val="00413AAC"/>
    <w:rsid w:val="00413E92"/>
    <w:rsid w:val="004161F6"/>
    <w:rsid w:val="00416A53"/>
    <w:rsid w:val="00421105"/>
    <w:rsid w:val="004213B9"/>
    <w:rsid w:val="00422AA4"/>
    <w:rsid w:val="00422C09"/>
    <w:rsid w:val="0042307D"/>
    <w:rsid w:val="004242F4"/>
    <w:rsid w:val="0042624D"/>
    <w:rsid w:val="00427248"/>
    <w:rsid w:val="00431265"/>
    <w:rsid w:val="004315AB"/>
    <w:rsid w:val="004321D5"/>
    <w:rsid w:val="00434466"/>
    <w:rsid w:val="00437447"/>
    <w:rsid w:val="00441A92"/>
    <w:rsid w:val="004431DC"/>
    <w:rsid w:val="00444364"/>
    <w:rsid w:val="004447AA"/>
    <w:rsid w:val="00444F56"/>
    <w:rsid w:val="00445F96"/>
    <w:rsid w:val="00446488"/>
    <w:rsid w:val="004517AA"/>
    <w:rsid w:val="00452CAC"/>
    <w:rsid w:val="004557BD"/>
    <w:rsid w:val="004562BD"/>
    <w:rsid w:val="00457565"/>
    <w:rsid w:val="00457B71"/>
    <w:rsid w:val="004612C6"/>
    <w:rsid w:val="00462526"/>
    <w:rsid w:val="0046399A"/>
    <w:rsid w:val="00464689"/>
    <w:rsid w:val="004647F4"/>
    <w:rsid w:val="004648AA"/>
    <w:rsid w:val="004669E2"/>
    <w:rsid w:val="00466D6F"/>
    <w:rsid w:val="00470C31"/>
    <w:rsid w:val="00471DE0"/>
    <w:rsid w:val="00472E04"/>
    <w:rsid w:val="004734D0"/>
    <w:rsid w:val="0047556B"/>
    <w:rsid w:val="0047651B"/>
    <w:rsid w:val="00476B24"/>
    <w:rsid w:val="00477768"/>
    <w:rsid w:val="00477AEA"/>
    <w:rsid w:val="00481D4E"/>
    <w:rsid w:val="00486C84"/>
    <w:rsid w:val="00490E35"/>
    <w:rsid w:val="0049159A"/>
    <w:rsid w:val="00491961"/>
    <w:rsid w:val="004924FD"/>
    <w:rsid w:val="00492BC5"/>
    <w:rsid w:val="004964F1"/>
    <w:rsid w:val="00496685"/>
    <w:rsid w:val="004A0949"/>
    <w:rsid w:val="004A1451"/>
    <w:rsid w:val="004A16BC"/>
    <w:rsid w:val="004A2B94"/>
    <w:rsid w:val="004A5435"/>
    <w:rsid w:val="004B080B"/>
    <w:rsid w:val="004B149F"/>
    <w:rsid w:val="004B3DD8"/>
    <w:rsid w:val="004B54A7"/>
    <w:rsid w:val="004B635E"/>
    <w:rsid w:val="004B6F6A"/>
    <w:rsid w:val="004B7C0C"/>
    <w:rsid w:val="004C1941"/>
    <w:rsid w:val="004C3898"/>
    <w:rsid w:val="004C6575"/>
    <w:rsid w:val="004C6C8E"/>
    <w:rsid w:val="004D0F18"/>
    <w:rsid w:val="004D0F9E"/>
    <w:rsid w:val="004D279F"/>
    <w:rsid w:val="004D36B1"/>
    <w:rsid w:val="004D4E3B"/>
    <w:rsid w:val="004D6413"/>
    <w:rsid w:val="004D7EBD"/>
    <w:rsid w:val="004E00F9"/>
    <w:rsid w:val="004E090D"/>
    <w:rsid w:val="004E2680"/>
    <w:rsid w:val="004E28F9"/>
    <w:rsid w:val="004E462E"/>
    <w:rsid w:val="004E56DC"/>
    <w:rsid w:val="004E5701"/>
    <w:rsid w:val="004E6250"/>
    <w:rsid w:val="004E76F4"/>
    <w:rsid w:val="004F0366"/>
    <w:rsid w:val="004F03C8"/>
    <w:rsid w:val="004F0B4E"/>
    <w:rsid w:val="004F0B6C"/>
    <w:rsid w:val="004F2078"/>
    <w:rsid w:val="004F3C52"/>
    <w:rsid w:val="004F4DA3"/>
    <w:rsid w:val="004F6FAF"/>
    <w:rsid w:val="004F75FC"/>
    <w:rsid w:val="00502D28"/>
    <w:rsid w:val="00503146"/>
    <w:rsid w:val="0050377E"/>
    <w:rsid w:val="00503DB5"/>
    <w:rsid w:val="00505E6A"/>
    <w:rsid w:val="00506557"/>
    <w:rsid w:val="0050677A"/>
    <w:rsid w:val="00506D58"/>
    <w:rsid w:val="005108D8"/>
    <w:rsid w:val="00510A25"/>
    <w:rsid w:val="005116F9"/>
    <w:rsid w:val="00512C91"/>
    <w:rsid w:val="0051323A"/>
    <w:rsid w:val="005134E8"/>
    <w:rsid w:val="005138FD"/>
    <w:rsid w:val="00514E93"/>
    <w:rsid w:val="005153A7"/>
    <w:rsid w:val="00517029"/>
    <w:rsid w:val="00517059"/>
    <w:rsid w:val="00517524"/>
    <w:rsid w:val="005219CF"/>
    <w:rsid w:val="005246BC"/>
    <w:rsid w:val="00525F99"/>
    <w:rsid w:val="0052621E"/>
    <w:rsid w:val="00526EF4"/>
    <w:rsid w:val="005302DA"/>
    <w:rsid w:val="00530405"/>
    <w:rsid w:val="005309C3"/>
    <w:rsid w:val="00531AC1"/>
    <w:rsid w:val="005330BD"/>
    <w:rsid w:val="00534B59"/>
    <w:rsid w:val="00536480"/>
    <w:rsid w:val="00536759"/>
    <w:rsid w:val="00537C62"/>
    <w:rsid w:val="00541059"/>
    <w:rsid w:val="0054194D"/>
    <w:rsid w:val="00546970"/>
    <w:rsid w:val="00552D9E"/>
    <w:rsid w:val="005539FD"/>
    <w:rsid w:val="00554441"/>
    <w:rsid w:val="00554E19"/>
    <w:rsid w:val="0056121F"/>
    <w:rsid w:val="0056387A"/>
    <w:rsid w:val="00567E9C"/>
    <w:rsid w:val="00567F87"/>
    <w:rsid w:val="00570716"/>
    <w:rsid w:val="00572505"/>
    <w:rsid w:val="00576A63"/>
    <w:rsid w:val="00582809"/>
    <w:rsid w:val="005834A1"/>
    <w:rsid w:val="00584A98"/>
    <w:rsid w:val="0058798C"/>
    <w:rsid w:val="005900FA"/>
    <w:rsid w:val="00591626"/>
    <w:rsid w:val="005919A1"/>
    <w:rsid w:val="005935A4"/>
    <w:rsid w:val="00593FA4"/>
    <w:rsid w:val="005948C2"/>
    <w:rsid w:val="00594AA4"/>
    <w:rsid w:val="00595DCA"/>
    <w:rsid w:val="0059779B"/>
    <w:rsid w:val="005A209A"/>
    <w:rsid w:val="005A662D"/>
    <w:rsid w:val="005B1409"/>
    <w:rsid w:val="005B35D7"/>
    <w:rsid w:val="005B392A"/>
    <w:rsid w:val="005B3AA3"/>
    <w:rsid w:val="005B6F83"/>
    <w:rsid w:val="005B79C6"/>
    <w:rsid w:val="005C07A0"/>
    <w:rsid w:val="005C344A"/>
    <w:rsid w:val="005C74FB"/>
    <w:rsid w:val="005D06A6"/>
    <w:rsid w:val="005D0DA5"/>
    <w:rsid w:val="005D1602"/>
    <w:rsid w:val="005D1882"/>
    <w:rsid w:val="005D22F8"/>
    <w:rsid w:val="005D35B7"/>
    <w:rsid w:val="005D3FA3"/>
    <w:rsid w:val="005D5D3F"/>
    <w:rsid w:val="005D6014"/>
    <w:rsid w:val="005E219F"/>
    <w:rsid w:val="005E2FFA"/>
    <w:rsid w:val="005E385F"/>
    <w:rsid w:val="005E4AE3"/>
    <w:rsid w:val="005E5B81"/>
    <w:rsid w:val="005F2CB1"/>
    <w:rsid w:val="005F3025"/>
    <w:rsid w:val="005F322F"/>
    <w:rsid w:val="005F404B"/>
    <w:rsid w:val="005F618C"/>
    <w:rsid w:val="005F70BD"/>
    <w:rsid w:val="0060021D"/>
    <w:rsid w:val="00601198"/>
    <w:rsid w:val="00602186"/>
    <w:rsid w:val="0060283C"/>
    <w:rsid w:val="00602F08"/>
    <w:rsid w:val="006036C8"/>
    <w:rsid w:val="00604F14"/>
    <w:rsid w:val="00605EC9"/>
    <w:rsid w:val="00605ECE"/>
    <w:rsid w:val="0060711D"/>
    <w:rsid w:val="006101AC"/>
    <w:rsid w:val="006115A5"/>
    <w:rsid w:val="00611B83"/>
    <w:rsid w:val="00613257"/>
    <w:rsid w:val="006151A3"/>
    <w:rsid w:val="00615A47"/>
    <w:rsid w:val="00620A71"/>
    <w:rsid w:val="00620D80"/>
    <w:rsid w:val="006234A6"/>
    <w:rsid w:val="00623AEF"/>
    <w:rsid w:val="00630001"/>
    <w:rsid w:val="006311B3"/>
    <w:rsid w:val="00632371"/>
    <w:rsid w:val="0063284C"/>
    <w:rsid w:val="006328AC"/>
    <w:rsid w:val="006339FC"/>
    <w:rsid w:val="00634EF8"/>
    <w:rsid w:val="0063603D"/>
    <w:rsid w:val="00636398"/>
    <w:rsid w:val="006368D3"/>
    <w:rsid w:val="006377EC"/>
    <w:rsid w:val="0063782F"/>
    <w:rsid w:val="00640F7F"/>
    <w:rsid w:val="0064151F"/>
    <w:rsid w:val="00641533"/>
    <w:rsid w:val="0064208D"/>
    <w:rsid w:val="00642EAC"/>
    <w:rsid w:val="00643475"/>
    <w:rsid w:val="0064396A"/>
    <w:rsid w:val="006439CF"/>
    <w:rsid w:val="006457A0"/>
    <w:rsid w:val="0064624E"/>
    <w:rsid w:val="00650AB9"/>
    <w:rsid w:val="00651AC1"/>
    <w:rsid w:val="006535F5"/>
    <w:rsid w:val="00655733"/>
    <w:rsid w:val="00655ACD"/>
    <w:rsid w:val="00656A92"/>
    <w:rsid w:val="00656DDE"/>
    <w:rsid w:val="0066011D"/>
    <w:rsid w:val="006607C0"/>
    <w:rsid w:val="006613A6"/>
    <w:rsid w:val="006627A2"/>
    <w:rsid w:val="006634E6"/>
    <w:rsid w:val="00663D64"/>
    <w:rsid w:val="006655EE"/>
    <w:rsid w:val="00665772"/>
    <w:rsid w:val="00665908"/>
    <w:rsid w:val="00667D1A"/>
    <w:rsid w:val="00667D4A"/>
    <w:rsid w:val="00667EE7"/>
    <w:rsid w:val="00670133"/>
    <w:rsid w:val="00670922"/>
    <w:rsid w:val="00670BE1"/>
    <w:rsid w:val="0067218F"/>
    <w:rsid w:val="006726D7"/>
    <w:rsid w:val="00672AA9"/>
    <w:rsid w:val="00673B40"/>
    <w:rsid w:val="006741F2"/>
    <w:rsid w:val="00674518"/>
    <w:rsid w:val="00674CC3"/>
    <w:rsid w:val="0067553C"/>
    <w:rsid w:val="00675C72"/>
    <w:rsid w:val="00675FEC"/>
    <w:rsid w:val="0067641E"/>
    <w:rsid w:val="006771F9"/>
    <w:rsid w:val="006776D7"/>
    <w:rsid w:val="00681003"/>
    <w:rsid w:val="006817C9"/>
    <w:rsid w:val="0068305F"/>
    <w:rsid w:val="00683ECE"/>
    <w:rsid w:val="00687CAA"/>
    <w:rsid w:val="006904A7"/>
    <w:rsid w:val="00695FC2"/>
    <w:rsid w:val="00696949"/>
    <w:rsid w:val="00697052"/>
    <w:rsid w:val="0069724D"/>
    <w:rsid w:val="006A0C9D"/>
    <w:rsid w:val="006A1C84"/>
    <w:rsid w:val="006A3CBD"/>
    <w:rsid w:val="006A46FB"/>
    <w:rsid w:val="006A5E28"/>
    <w:rsid w:val="006A697B"/>
    <w:rsid w:val="006A7AFF"/>
    <w:rsid w:val="006B1816"/>
    <w:rsid w:val="006B1E79"/>
    <w:rsid w:val="006B2099"/>
    <w:rsid w:val="006B50CF"/>
    <w:rsid w:val="006B67C7"/>
    <w:rsid w:val="006C03B8"/>
    <w:rsid w:val="006C27AB"/>
    <w:rsid w:val="006C5EC9"/>
    <w:rsid w:val="006C6059"/>
    <w:rsid w:val="006C6F99"/>
    <w:rsid w:val="006C7522"/>
    <w:rsid w:val="006D4F2B"/>
    <w:rsid w:val="006D6F08"/>
    <w:rsid w:val="006D7F93"/>
    <w:rsid w:val="006E062C"/>
    <w:rsid w:val="006E1C82"/>
    <w:rsid w:val="006E2062"/>
    <w:rsid w:val="006E28B7"/>
    <w:rsid w:val="006E2A9B"/>
    <w:rsid w:val="006E3310"/>
    <w:rsid w:val="006E4037"/>
    <w:rsid w:val="006E4E39"/>
    <w:rsid w:val="006E565E"/>
    <w:rsid w:val="006E673D"/>
    <w:rsid w:val="006E7B63"/>
    <w:rsid w:val="006E7D3B"/>
    <w:rsid w:val="006F1B70"/>
    <w:rsid w:val="006F341D"/>
    <w:rsid w:val="006F3CDE"/>
    <w:rsid w:val="006F58D4"/>
    <w:rsid w:val="006F612D"/>
    <w:rsid w:val="006F6582"/>
    <w:rsid w:val="00702330"/>
    <w:rsid w:val="0070346E"/>
    <w:rsid w:val="00703AD5"/>
    <w:rsid w:val="00704EDB"/>
    <w:rsid w:val="00706101"/>
    <w:rsid w:val="00707072"/>
    <w:rsid w:val="0070760B"/>
    <w:rsid w:val="00707D61"/>
    <w:rsid w:val="00712287"/>
    <w:rsid w:val="007124B4"/>
    <w:rsid w:val="00712772"/>
    <w:rsid w:val="007148B6"/>
    <w:rsid w:val="007148D3"/>
    <w:rsid w:val="00715B9A"/>
    <w:rsid w:val="00715E83"/>
    <w:rsid w:val="0072023E"/>
    <w:rsid w:val="00724B1A"/>
    <w:rsid w:val="007257D0"/>
    <w:rsid w:val="00726AC6"/>
    <w:rsid w:val="00726EA6"/>
    <w:rsid w:val="00727208"/>
    <w:rsid w:val="00727680"/>
    <w:rsid w:val="007348B1"/>
    <w:rsid w:val="00734ACC"/>
    <w:rsid w:val="007362A6"/>
    <w:rsid w:val="0073670E"/>
    <w:rsid w:val="00736D7D"/>
    <w:rsid w:val="00737403"/>
    <w:rsid w:val="007379C4"/>
    <w:rsid w:val="00740E58"/>
    <w:rsid w:val="00744143"/>
    <w:rsid w:val="007445A0"/>
    <w:rsid w:val="00744C67"/>
    <w:rsid w:val="00744EA8"/>
    <w:rsid w:val="0074524B"/>
    <w:rsid w:val="0074799A"/>
    <w:rsid w:val="00747D8B"/>
    <w:rsid w:val="00751228"/>
    <w:rsid w:val="00751DF1"/>
    <w:rsid w:val="00754B16"/>
    <w:rsid w:val="007571E1"/>
    <w:rsid w:val="007604B2"/>
    <w:rsid w:val="00765281"/>
    <w:rsid w:val="00766BAD"/>
    <w:rsid w:val="007727CF"/>
    <w:rsid w:val="007729A2"/>
    <w:rsid w:val="00772AB8"/>
    <w:rsid w:val="00773E9F"/>
    <w:rsid w:val="007755F2"/>
    <w:rsid w:val="00776971"/>
    <w:rsid w:val="0077706F"/>
    <w:rsid w:val="007772B7"/>
    <w:rsid w:val="00780A80"/>
    <w:rsid w:val="0078177E"/>
    <w:rsid w:val="007818C8"/>
    <w:rsid w:val="007824AE"/>
    <w:rsid w:val="0078304C"/>
    <w:rsid w:val="00783673"/>
    <w:rsid w:val="00785490"/>
    <w:rsid w:val="00785847"/>
    <w:rsid w:val="00786398"/>
    <w:rsid w:val="007871DF"/>
    <w:rsid w:val="0079019F"/>
    <w:rsid w:val="00790C2F"/>
    <w:rsid w:val="007925EA"/>
    <w:rsid w:val="00793CD8"/>
    <w:rsid w:val="0079553D"/>
    <w:rsid w:val="00795C92"/>
    <w:rsid w:val="00796231"/>
    <w:rsid w:val="007A1CB3"/>
    <w:rsid w:val="007A2234"/>
    <w:rsid w:val="007A306F"/>
    <w:rsid w:val="007A427A"/>
    <w:rsid w:val="007A43A6"/>
    <w:rsid w:val="007A4521"/>
    <w:rsid w:val="007A4BBC"/>
    <w:rsid w:val="007A58A6"/>
    <w:rsid w:val="007B0050"/>
    <w:rsid w:val="007B3D2D"/>
    <w:rsid w:val="007B50AE"/>
    <w:rsid w:val="007B51DF"/>
    <w:rsid w:val="007B521D"/>
    <w:rsid w:val="007B7C54"/>
    <w:rsid w:val="007C05DD"/>
    <w:rsid w:val="007C1F2F"/>
    <w:rsid w:val="007C28FB"/>
    <w:rsid w:val="007C30E6"/>
    <w:rsid w:val="007C3B32"/>
    <w:rsid w:val="007C3D18"/>
    <w:rsid w:val="007C60BF"/>
    <w:rsid w:val="007C691C"/>
    <w:rsid w:val="007C6A07"/>
    <w:rsid w:val="007C75A1"/>
    <w:rsid w:val="007C77A5"/>
    <w:rsid w:val="007C7F68"/>
    <w:rsid w:val="007D04E5"/>
    <w:rsid w:val="007D0B4B"/>
    <w:rsid w:val="007D1481"/>
    <w:rsid w:val="007D209D"/>
    <w:rsid w:val="007D5901"/>
    <w:rsid w:val="007D7526"/>
    <w:rsid w:val="007E29A5"/>
    <w:rsid w:val="007E4610"/>
    <w:rsid w:val="007E4715"/>
    <w:rsid w:val="007E4C3A"/>
    <w:rsid w:val="007E505B"/>
    <w:rsid w:val="007E6D5E"/>
    <w:rsid w:val="007E7091"/>
    <w:rsid w:val="007F1E7D"/>
    <w:rsid w:val="007F3B1C"/>
    <w:rsid w:val="007F6B5A"/>
    <w:rsid w:val="00803FAE"/>
    <w:rsid w:val="008048B3"/>
    <w:rsid w:val="00805C7F"/>
    <w:rsid w:val="0080605F"/>
    <w:rsid w:val="00806D94"/>
    <w:rsid w:val="00807786"/>
    <w:rsid w:val="00811FCB"/>
    <w:rsid w:val="008129E5"/>
    <w:rsid w:val="00814618"/>
    <w:rsid w:val="00814E7F"/>
    <w:rsid w:val="008154E2"/>
    <w:rsid w:val="008158D6"/>
    <w:rsid w:val="00817196"/>
    <w:rsid w:val="00817C23"/>
    <w:rsid w:val="008235DB"/>
    <w:rsid w:val="00824AB4"/>
    <w:rsid w:val="00824B4D"/>
    <w:rsid w:val="00824D84"/>
    <w:rsid w:val="00825BFD"/>
    <w:rsid w:val="00825C42"/>
    <w:rsid w:val="00825D25"/>
    <w:rsid w:val="00826B5A"/>
    <w:rsid w:val="00827D6F"/>
    <w:rsid w:val="00836FAA"/>
    <w:rsid w:val="008376AC"/>
    <w:rsid w:val="0083786A"/>
    <w:rsid w:val="00840D5D"/>
    <w:rsid w:val="00841EA3"/>
    <w:rsid w:val="008422EA"/>
    <w:rsid w:val="008444E8"/>
    <w:rsid w:val="00844E80"/>
    <w:rsid w:val="008463AA"/>
    <w:rsid w:val="00846FE7"/>
    <w:rsid w:val="00847D65"/>
    <w:rsid w:val="008518C1"/>
    <w:rsid w:val="008537B9"/>
    <w:rsid w:val="00856911"/>
    <w:rsid w:val="0085731A"/>
    <w:rsid w:val="0086055F"/>
    <w:rsid w:val="0086391D"/>
    <w:rsid w:val="00863ED7"/>
    <w:rsid w:val="00864D4B"/>
    <w:rsid w:val="008677FD"/>
    <w:rsid w:val="008706D4"/>
    <w:rsid w:val="00870F8A"/>
    <w:rsid w:val="00871762"/>
    <w:rsid w:val="008719A4"/>
    <w:rsid w:val="00871D23"/>
    <w:rsid w:val="00873EF8"/>
    <w:rsid w:val="00874312"/>
    <w:rsid w:val="0087437C"/>
    <w:rsid w:val="008755A8"/>
    <w:rsid w:val="00875CD7"/>
    <w:rsid w:val="00876B4D"/>
    <w:rsid w:val="00877F18"/>
    <w:rsid w:val="00881539"/>
    <w:rsid w:val="0088558B"/>
    <w:rsid w:val="00887731"/>
    <w:rsid w:val="00887887"/>
    <w:rsid w:val="008941E3"/>
    <w:rsid w:val="00894A88"/>
    <w:rsid w:val="00895386"/>
    <w:rsid w:val="008A1F82"/>
    <w:rsid w:val="008A21FF"/>
    <w:rsid w:val="008A2CE2"/>
    <w:rsid w:val="008A30AC"/>
    <w:rsid w:val="008A44B8"/>
    <w:rsid w:val="008A51A8"/>
    <w:rsid w:val="008A54C7"/>
    <w:rsid w:val="008A5562"/>
    <w:rsid w:val="008A77D8"/>
    <w:rsid w:val="008A7D93"/>
    <w:rsid w:val="008B0483"/>
    <w:rsid w:val="008B0773"/>
    <w:rsid w:val="008B120C"/>
    <w:rsid w:val="008B17BA"/>
    <w:rsid w:val="008B2202"/>
    <w:rsid w:val="008B2308"/>
    <w:rsid w:val="008B29D3"/>
    <w:rsid w:val="008B2DB7"/>
    <w:rsid w:val="008B47FC"/>
    <w:rsid w:val="008B4CB0"/>
    <w:rsid w:val="008B50F7"/>
    <w:rsid w:val="008B51A0"/>
    <w:rsid w:val="008B592A"/>
    <w:rsid w:val="008B5A33"/>
    <w:rsid w:val="008B7B5C"/>
    <w:rsid w:val="008C0C99"/>
    <w:rsid w:val="008C0D05"/>
    <w:rsid w:val="008C2017"/>
    <w:rsid w:val="008C4611"/>
    <w:rsid w:val="008C4958"/>
    <w:rsid w:val="008C4BAA"/>
    <w:rsid w:val="008C6138"/>
    <w:rsid w:val="008C6AE8"/>
    <w:rsid w:val="008C7573"/>
    <w:rsid w:val="008D00A5"/>
    <w:rsid w:val="008D34F1"/>
    <w:rsid w:val="008D39D8"/>
    <w:rsid w:val="008D4077"/>
    <w:rsid w:val="008D67CA"/>
    <w:rsid w:val="008D6843"/>
    <w:rsid w:val="008D6B38"/>
    <w:rsid w:val="008D6D1A"/>
    <w:rsid w:val="008E065E"/>
    <w:rsid w:val="008E0927"/>
    <w:rsid w:val="008E1909"/>
    <w:rsid w:val="008E19F6"/>
    <w:rsid w:val="008E2385"/>
    <w:rsid w:val="008F1C4E"/>
    <w:rsid w:val="008F1EAB"/>
    <w:rsid w:val="008F29E8"/>
    <w:rsid w:val="008F33DC"/>
    <w:rsid w:val="008F477F"/>
    <w:rsid w:val="009004AC"/>
    <w:rsid w:val="00902350"/>
    <w:rsid w:val="00903284"/>
    <w:rsid w:val="0090336B"/>
    <w:rsid w:val="009053AA"/>
    <w:rsid w:val="009062C2"/>
    <w:rsid w:val="00906939"/>
    <w:rsid w:val="00907656"/>
    <w:rsid w:val="00910B7D"/>
    <w:rsid w:val="00911DFB"/>
    <w:rsid w:val="009139D9"/>
    <w:rsid w:val="00914AD8"/>
    <w:rsid w:val="0091557A"/>
    <w:rsid w:val="00916079"/>
    <w:rsid w:val="00917CE9"/>
    <w:rsid w:val="009204B1"/>
    <w:rsid w:val="00920BF2"/>
    <w:rsid w:val="00921DEF"/>
    <w:rsid w:val="00922010"/>
    <w:rsid w:val="00922888"/>
    <w:rsid w:val="009259DA"/>
    <w:rsid w:val="00926B7A"/>
    <w:rsid w:val="00930F7F"/>
    <w:rsid w:val="00931034"/>
    <w:rsid w:val="00931912"/>
    <w:rsid w:val="00931BD9"/>
    <w:rsid w:val="00934D0C"/>
    <w:rsid w:val="009354D8"/>
    <w:rsid w:val="009368F3"/>
    <w:rsid w:val="00940C3E"/>
    <w:rsid w:val="00941193"/>
    <w:rsid w:val="00941636"/>
    <w:rsid w:val="00943742"/>
    <w:rsid w:val="00945C05"/>
    <w:rsid w:val="00946945"/>
    <w:rsid w:val="00947713"/>
    <w:rsid w:val="00947A74"/>
    <w:rsid w:val="00950DE7"/>
    <w:rsid w:val="00952551"/>
    <w:rsid w:val="00952697"/>
    <w:rsid w:val="00953527"/>
    <w:rsid w:val="00953920"/>
    <w:rsid w:val="00953D47"/>
    <w:rsid w:val="009556BA"/>
    <w:rsid w:val="0095681E"/>
    <w:rsid w:val="00956B2F"/>
    <w:rsid w:val="009572D4"/>
    <w:rsid w:val="00957563"/>
    <w:rsid w:val="00961921"/>
    <w:rsid w:val="00962259"/>
    <w:rsid w:val="0096430A"/>
    <w:rsid w:val="0096554B"/>
    <w:rsid w:val="0096584A"/>
    <w:rsid w:val="00965AC7"/>
    <w:rsid w:val="00971F08"/>
    <w:rsid w:val="0097603D"/>
    <w:rsid w:val="00976949"/>
    <w:rsid w:val="00980477"/>
    <w:rsid w:val="00985253"/>
    <w:rsid w:val="009853B3"/>
    <w:rsid w:val="00985A88"/>
    <w:rsid w:val="00986E39"/>
    <w:rsid w:val="00990630"/>
    <w:rsid w:val="00991761"/>
    <w:rsid w:val="00992584"/>
    <w:rsid w:val="00992AE4"/>
    <w:rsid w:val="00992F40"/>
    <w:rsid w:val="00994DCA"/>
    <w:rsid w:val="009960EC"/>
    <w:rsid w:val="009970DD"/>
    <w:rsid w:val="00997530"/>
    <w:rsid w:val="009A0110"/>
    <w:rsid w:val="009A0FBA"/>
    <w:rsid w:val="009A1601"/>
    <w:rsid w:val="009A3BB6"/>
    <w:rsid w:val="009A462D"/>
    <w:rsid w:val="009A5CBA"/>
    <w:rsid w:val="009A79E3"/>
    <w:rsid w:val="009A7BA5"/>
    <w:rsid w:val="009B0A0B"/>
    <w:rsid w:val="009B1EE7"/>
    <w:rsid w:val="009B1F30"/>
    <w:rsid w:val="009B3AC2"/>
    <w:rsid w:val="009B4DF4"/>
    <w:rsid w:val="009B564E"/>
    <w:rsid w:val="009B7458"/>
    <w:rsid w:val="009B7E87"/>
    <w:rsid w:val="009C00DD"/>
    <w:rsid w:val="009C0169"/>
    <w:rsid w:val="009C403E"/>
    <w:rsid w:val="009C64BE"/>
    <w:rsid w:val="009D0DDB"/>
    <w:rsid w:val="009D31D2"/>
    <w:rsid w:val="009D4FF0"/>
    <w:rsid w:val="009D60E4"/>
    <w:rsid w:val="009D703C"/>
    <w:rsid w:val="009D718F"/>
    <w:rsid w:val="009E068F"/>
    <w:rsid w:val="009E0D7B"/>
    <w:rsid w:val="009E14E0"/>
    <w:rsid w:val="009E2C9C"/>
    <w:rsid w:val="009E2E07"/>
    <w:rsid w:val="009E35DB"/>
    <w:rsid w:val="009E39F1"/>
    <w:rsid w:val="009E47A3"/>
    <w:rsid w:val="009E6E9C"/>
    <w:rsid w:val="009E6ED7"/>
    <w:rsid w:val="009F08F3"/>
    <w:rsid w:val="009F17D4"/>
    <w:rsid w:val="009F344F"/>
    <w:rsid w:val="009F6030"/>
    <w:rsid w:val="009F67F1"/>
    <w:rsid w:val="00A00C91"/>
    <w:rsid w:val="00A01863"/>
    <w:rsid w:val="00A01867"/>
    <w:rsid w:val="00A02AC6"/>
    <w:rsid w:val="00A031D8"/>
    <w:rsid w:val="00A033D9"/>
    <w:rsid w:val="00A048A8"/>
    <w:rsid w:val="00A04B40"/>
    <w:rsid w:val="00A04F49"/>
    <w:rsid w:val="00A13E54"/>
    <w:rsid w:val="00A17828"/>
    <w:rsid w:val="00A17F63"/>
    <w:rsid w:val="00A2193B"/>
    <w:rsid w:val="00A222B1"/>
    <w:rsid w:val="00A230D5"/>
    <w:rsid w:val="00A2351A"/>
    <w:rsid w:val="00A264A9"/>
    <w:rsid w:val="00A26690"/>
    <w:rsid w:val="00A26DCF"/>
    <w:rsid w:val="00A273F8"/>
    <w:rsid w:val="00A27785"/>
    <w:rsid w:val="00A30187"/>
    <w:rsid w:val="00A32097"/>
    <w:rsid w:val="00A32171"/>
    <w:rsid w:val="00A3448A"/>
    <w:rsid w:val="00A35974"/>
    <w:rsid w:val="00A36297"/>
    <w:rsid w:val="00A37FE3"/>
    <w:rsid w:val="00A41E2B"/>
    <w:rsid w:val="00A42EB8"/>
    <w:rsid w:val="00A45B74"/>
    <w:rsid w:val="00A45FDB"/>
    <w:rsid w:val="00A46309"/>
    <w:rsid w:val="00A52E1D"/>
    <w:rsid w:val="00A5310B"/>
    <w:rsid w:val="00A53954"/>
    <w:rsid w:val="00A573D8"/>
    <w:rsid w:val="00A61499"/>
    <w:rsid w:val="00A62A77"/>
    <w:rsid w:val="00A63483"/>
    <w:rsid w:val="00A64931"/>
    <w:rsid w:val="00A657D7"/>
    <w:rsid w:val="00A660AC"/>
    <w:rsid w:val="00A66388"/>
    <w:rsid w:val="00A67233"/>
    <w:rsid w:val="00A67E6C"/>
    <w:rsid w:val="00A71B99"/>
    <w:rsid w:val="00A73205"/>
    <w:rsid w:val="00A739D0"/>
    <w:rsid w:val="00A761D4"/>
    <w:rsid w:val="00A77EC4"/>
    <w:rsid w:val="00A83ACF"/>
    <w:rsid w:val="00A83F52"/>
    <w:rsid w:val="00A85F00"/>
    <w:rsid w:val="00A864C2"/>
    <w:rsid w:val="00A870EA"/>
    <w:rsid w:val="00A87B37"/>
    <w:rsid w:val="00A92879"/>
    <w:rsid w:val="00A93963"/>
    <w:rsid w:val="00A9442A"/>
    <w:rsid w:val="00A95C16"/>
    <w:rsid w:val="00A96E45"/>
    <w:rsid w:val="00A97528"/>
    <w:rsid w:val="00A97B13"/>
    <w:rsid w:val="00A97DE8"/>
    <w:rsid w:val="00AA016F"/>
    <w:rsid w:val="00AA0854"/>
    <w:rsid w:val="00AA0D22"/>
    <w:rsid w:val="00AA1ED6"/>
    <w:rsid w:val="00AA435F"/>
    <w:rsid w:val="00AA51D6"/>
    <w:rsid w:val="00AA5425"/>
    <w:rsid w:val="00AA758D"/>
    <w:rsid w:val="00AB002D"/>
    <w:rsid w:val="00AB0BC8"/>
    <w:rsid w:val="00AB11CA"/>
    <w:rsid w:val="00AB14D9"/>
    <w:rsid w:val="00AB25F0"/>
    <w:rsid w:val="00AB4AB8"/>
    <w:rsid w:val="00AB534B"/>
    <w:rsid w:val="00AB655E"/>
    <w:rsid w:val="00AB71B4"/>
    <w:rsid w:val="00AB7EE3"/>
    <w:rsid w:val="00AC007F"/>
    <w:rsid w:val="00AC1CFC"/>
    <w:rsid w:val="00AC2124"/>
    <w:rsid w:val="00AC2ECD"/>
    <w:rsid w:val="00AC3119"/>
    <w:rsid w:val="00AC3F02"/>
    <w:rsid w:val="00AC460B"/>
    <w:rsid w:val="00AC49FB"/>
    <w:rsid w:val="00AC5A10"/>
    <w:rsid w:val="00AD0AA3"/>
    <w:rsid w:val="00AD2ED0"/>
    <w:rsid w:val="00AD346E"/>
    <w:rsid w:val="00AD395F"/>
    <w:rsid w:val="00AD3F94"/>
    <w:rsid w:val="00AD457E"/>
    <w:rsid w:val="00AD4A5A"/>
    <w:rsid w:val="00AD64A4"/>
    <w:rsid w:val="00AE0817"/>
    <w:rsid w:val="00AE1DC9"/>
    <w:rsid w:val="00AE27AC"/>
    <w:rsid w:val="00AE3411"/>
    <w:rsid w:val="00AE40E0"/>
    <w:rsid w:val="00AE4DBA"/>
    <w:rsid w:val="00AE4E9A"/>
    <w:rsid w:val="00AE4F07"/>
    <w:rsid w:val="00AE5C6F"/>
    <w:rsid w:val="00AE61F1"/>
    <w:rsid w:val="00AE61FB"/>
    <w:rsid w:val="00AE6816"/>
    <w:rsid w:val="00AF1C5D"/>
    <w:rsid w:val="00AF3E3C"/>
    <w:rsid w:val="00AF3EED"/>
    <w:rsid w:val="00AF42D7"/>
    <w:rsid w:val="00AF5054"/>
    <w:rsid w:val="00AF6B3E"/>
    <w:rsid w:val="00B006FE"/>
    <w:rsid w:val="00B007CB"/>
    <w:rsid w:val="00B00C01"/>
    <w:rsid w:val="00B02AA9"/>
    <w:rsid w:val="00B02FA3"/>
    <w:rsid w:val="00B04AAB"/>
    <w:rsid w:val="00B05084"/>
    <w:rsid w:val="00B10CE1"/>
    <w:rsid w:val="00B1245A"/>
    <w:rsid w:val="00B12905"/>
    <w:rsid w:val="00B12D62"/>
    <w:rsid w:val="00B13A63"/>
    <w:rsid w:val="00B1499C"/>
    <w:rsid w:val="00B157F9"/>
    <w:rsid w:val="00B15D15"/>
    <w:rsid w:val="00B20256"/>
    <w:rsid w:val="00B20D09"/>
    <w:rsid w:val="00B21431"/>
    <w:rsid w:val="00B230F2"/>
    <w:rsid w:val="00B2555A"/>
    <w:rsid w:val="00B2600C"/>
    <w:rsid w:val="00B2763F"/>
    <w:rsid w:val="00B27AAC"/>
    <w:rsid w:val="00B30929"/>
    <w:rsid w:val="00B357AC"/>
    <w:rsid w:val="00B372AA"/>
    <w:rsid w:val="00B40445"/>
    <w:rsid w:val="00B409E0"/>
    <w:rsid w:val="00B40C5D"/>
    <w:rsid w:val="00B41888"/>
    <w:rsid w:val="00B45A52"/>
    <w:rsid w:val="00B46175"/>
    <w:rsid w:val="00B46DEF"/>
    <w:rsid w:val="00B473C2"/>
    <w:rsid w:val="00B53CF0"/>
    <w:rsid w:val="00B548B7"/>
    <w:rsid w:val="00B552A6"/>
    <w:rsid w:val="00B574E1"/>
    <w:rsid w:val="00B5770F"/>
    <w:rsid w:val="00B62385"/>
    <w:rsid w:val="00B625E1"/>
    <w:rsid w:val="00B62E78"/>
    <w:rsid w:val="00B63021"/>
    <w:rsid w:val="00B63785"/>
    <w:rsid w:val="00B664C7"/>
    <w:rsid w:val="00B666A8"/>
    <w:rsid w:val="00B727DD"/>
    <w:rsid w:val="00B72E88"/>
    <w:rsid w:val="00B739F6"/>
    <w:rsid w:val="00B73E18"/>
    <w:rsid w:val="00B769EB"/>
    <w:rsid w:val="00B77180"/>
    <w:rsid w:val="00B815FF"/>
    <w:rsid w:val="00B816BE"/>
    <w:rsid w:val="00B81A6C"/>
    <w:rsid w:val="00B8254E"/>
    <w:rsid w:val="00B8313E"/>
    <w:rsid w:val="00B83625"/>
    <w:rsid w:val="00B84301"/>
    <w:rsid w:val="00B85DE5"/>
    <w:rsid w:val="00B90F73"/>
    <w:rsid w:val="00B92CDD"/>
    <w:rsid w:val="00B93B59"/>
    <w:rsid w:val="00B9406A"/>
    <w:rsid w:val="00B94ACB"/>
    <w:rsid w:val="00B97824"/>
    <w:rsid w:val="00BA0A51"/>
    <w:rsid w:val="00BA2280"/>
    <w:rsid w:val="00BA2A08"/>
    <w:rsid w:val="00BA2A3F"/>
    <w:rsid w:val="00BA56D2"/>
    <w:rsid w:val="00BA6047"/>
    <w:rsid w:val="00BA6DEF"/>
    <w:rsid w:val="00BA7333"/>
    <w:rsid w:val="00BA76E0"/>
    <w:rsid w:val="00BA7BC0"/>
    <w:rsid w:val="00BA7DB2"/>
    <w:rsid w:val="00BB015D"/>
    <w:rsid w:val="00BB24A1"/>
    <w:rsid w:val="00BB2A25"/>
    <w:rsid w:val="00BB3E06"/>
    <w:rsid w:val="00BB4ECA"/>
    <w:rsid w:val="00BB51E9"/>
    <w:rsid w:val="00BC0FDC"/>
    <w:rsid w:val="00BC111A"/>
    <w:rsid w:val="00BC3053"/>
    <w:rsid w:val="00BC4D2E"/>
    <w:rsid w:val="00BC4FC9"/>
    <w:rsid w:val="00BC5FAA"/>
    <w:rsid w:val="00BC600F"/>
    <w:rsid w:val="00BC7854"/>
    <w:rsid w:val="00BC7AAA"/>
    <w:rsid w:val="00BD0A0E"/>
    <w:rsid w:val="00BD1035"/>
    <w:rsid w:val="00BD48AC"/>
    <w:rsid w:val="00BD51AE"/>
    <w:rsid w:val="00BD5F1A"/>
    <w:rsid w:val="00BD6300"/>
    <w:rsid w:val="00BE1234"/>
    <w:rsid w:val="00BE23AB"/>
    <w:rsid w:val="00BE256D"/>
    <w:rsid w:val="00BE27D9"/>
    <w:rsid w:val="00BE29D9"/>
    <w:rsid w:val="00BE2FA6"/>
    <w:rsid w:val="00BE333F"/>
    <w:rsid w:val="00BE6D6D"/>
    <w:rsid w:val="00BE7406"/>
    <w:rsid w:val="00BE7603"/>
    <w:rsid w:val="00BE7FAE"/>
    <w:rsid w:val="00BF3279"/>
    <w:rsid w:val="00BF74C7"/>
    <w:rsid w:val="00C010F3"/>
    <w:rsid w:val="00C015F1"/>
    <w:rsid w:val="00C01F33"/>
    <w:rsid w:val="00C020A1"/>
    <w:rsid w:val="00C02CC6"/>
    <w:rsid w:val="00C03FE6"/>
    <w:rsid w:val="00C040F7"/>
    <w:rsid w:val="00C041EE"/>
    <w:rsid w:val="00C044AB"/>
    <w:rsid w:val="00C05706"/>
    <w:rsid w:val="00C07377"/>
    <w:rsid w:val="00C07B45"/>
    <w:rsid w:val="00C10478"/>
    <w:rsid w:val="00C110E8"/>
    <w:rsid w:val="00C12107"/>
    <w:rsid w:val="00C133F1"/>
    <w:rsid w:val="00C14D4B"/>
    <w:rsid w:val="00C154BB"/>
    <w:rsid w:val="00C16A32"/>
    <w:rsid w:val="00C17BFA"/>
    <w:rsid w:val="00C225BB"/>
    <w:rsid w:val="00C279B5"/>
    <w:rsid w:val="00C27C45"/>
    <w:rsid w:val="00C30D8D"/>
    <w:rsid w:val="00C3251E"/>
    <w:rsid w:val="00C36F35"/>
    <w:rsid w:val="00C3719D"/>
    <w:rsid w:val="00C377D6"/>
    <w:rsid w:val="00C37CB2"/>
    <w:rsid w:val="00C37FF0"/>
    <w:rsid w:val="00C43484"/>
    <w:rsid w:val="00C43CE0"/>
    <w:rsid w:val="00C45356"/>
    <w:rsid w:val="00C45A81"/>
    <w:rsid w:val="00C46644"/>
    <w:rsid w:val="00C46D20"/>
    <w:rsid w:val="00C473A5"/>
    <w:rsid w:val="00C52C0A"/>
    <w:rsid w:val="00C54995"/>
    <w:rsid w:val="00C54D41"/>
    <w:rsid w:val="00C55731"/>
    <w:rsid w:val="00C55952"/>
    <w:rsid w:val="00C603D3"/>
    <w:rsid w:val="00C60783"/>
    <w:rsid w:val="00C61C99"/>
    <w:rsid w:val="00C62F6D"/>
    <w:rsid w:val="00C64672"/>
    <w:rsid w:val="00C6745C"/>
    <w:rsid w:val="00C70697"/>
    <w:rsid w:val="00C71E5F"/>
    <w:rsid w:val="00C72093"/>
    <w:rsid w:val="00C7218F"/>
    <w:rsid w:val="00C72EF4"/>
    <w:rsid w:val="00C7340F"/>
    <w:rsid w:val="00C744FE"/>
    <w:rsid w:val="00C75D2F"/>
    <w:rsid w:val="00C767BE"/>
    <w:rsid w:val="00C76E3C"/>
    <w:rsid w:val="00C80724"/>
    <w:rsid w:val="00C81568"/>
    <w:rsid w:val="00C86963"/>
    <w:rsid w:val="00C87974"/>
    <w:rsid w:val="00C9027A"/>
    <w:rsid w:val="00C9068E"/>
    <w:rsid w:val="00C93814"/>
    <w:rsid w:val="00C93C4B"/>
    <w:rsid w:val="00C944AB"/>
    <w:rsid w:val="00C94DB2"/>
    <w:rsid w:val="00C94FF2"/>
    <w:rsid w:val="00C95B40"/>
    <w:rsid w:val="00C966D8"/>
    <w:rsid w:val="00C967A8"/>
    <w:rsid w:val="00CA0E73"/>
    <w:rsid w:val="00CA1853"/>
    <w:rsid w:val="00CA1ED8"/>
    <w:rsid w:val="00CA6FFD"/>
    <w:rsid w:val="00CB1F63"/>
    <w:rsid w:val="00CB423C"/>
    <w:rsid w:val="00CB7170"/>
    <w:rsid w:val="00CB785F"/>
    <w:rsid w:val="00CB7E48"/>
    <w:rsid w:val="00CC040E"/>
    <w:rsid w:val="00CC101E"/>
    <w:rsid w:val="00CC111F"/>
    <w:rsid w:val="00CC2011"/>
    <w:rsid w:val="00CC3EA0"/>
    <w:rsid w:val="00CC4ACA"/>
    <w:rsid w:val="00CC608B"/>
    <w:rsid w:val="00CC7B45"/>
    <w:rsid w:val="00CD077C"/>
    <w:rsid w:val="00CD1067"/>
    <w:rsid w:val="00CD1188"/>
    <w:rsid w:val="00CD1384"/>
    <w:rsid w:val="00CD1BF2"/>
    <w:rsid w:val="00CD1FCF"/>
    <w:rsid w:val="00CD2ED1"/>
    <w:rsid w:val="00CD337B"/>
    <w:rsid w:val="00CD4659"/>
    <w:rsid w:val="00CD50A6"/>
    <w:rsid w:val="00CD56A5"/>
    <w:rsid w:val="00CD6C27"/>
    <w:rsid w:val="00CE0424"/>
    <w:rsid w:val="00CE2C46"/>
    <w:rsid w:val="00CE48C2"/>
    <w:rsid w:val="00CE7561"/>
    <w:rsid w:val="00CF1354"/>
    <w:rsid w:val="00CF16E1"/>
    <w:rsid w:val="00CF2524"/>
    <w:rsid w:val="00CF3B1F"/>
    <w:rsid w:val="00CF3BF6"/>
    <w:rsid w:val="00CF625B"/>
    <w:rsid w:val="00CF687E"/>
    <w:rsid w:val="00CF690D"/>
    <w:rsid w:val="00D0124B"/>
    <w:rsid w:val="00D01A6C"/>
    <w:rsid w:val="00D01D88"/>
    <w:rsid w:val="00D0349B"/>
    <w:rsid w:val="00D058D8"/>
    <w:rsid w:val="00D063BE"/>
    <w:rsid w:val="00D10249"/>
    <w:rsid w:val="00D115C3"/>
    <w:rsid w:val="00D11897"/>
    <w:rsid w:val="00D13135"/>
    <w:rsid w:val="00D13C99"/>
    <w:rsid w:val="00D13E4E"/>
    <w:rsid w:val="00D17232"/>
    <w:rsid w:val="00D17260"/>
    <w:rsid w:val="00D17CE7"/>
    <w:rsid w:val="00D223C7"/>
    <w:rsid w:val="00D239A7"/>
    <w:rsid w:val="00D23F47"/>
    <w:rsid w:val="00D35AD3"/>
    <w:rsid w:val="00D36E71"/>
    <w:rsid w:val="00D37D87"/>
    <w:rsid w:val="00D40B33"/>
    <w:rsid w:val="00D41FEE"/>
    <w:rsid w:val="00D4318F"/>
    <w:rsid w:val="00D438BF"/>
    <w:rsid w:val="00D43CE9"/>
    <w:rsid w:val="00D440F8"/>
    <w:rsid w:val="00D45881"/>
    <w:rsid w:val="00D459B4"/>
    <w:rsid w:val="00D503E9"/>
    <w:rsid w:val="00D546FF"/>
    <w:rsid w:val="00D54F1E"/>
    <w:rsid w:val="00D55AD5"/>
    <w:rsid w:val="00D56A66"/>
    <w:rsid w:val="00D576CA"/>
    <w:rsid w:val="00D60266"/>
    <w:rsid w:val="00D60EA4"/>
    <w:rsid w:val="00D61AF5"/>
    <w:rsid w:val="00D63BD5"/>
    <w:rsid w:val="00D651C3"/>
    <w:rsid w:val="00D652B5"/>
    <w:rsid w:val="00D66155"/>
    <w:rsid w:val="00D663EE"/>
    <w:rsid w:val="00D66AF9"/>
    <w:rsid w:val="00D708B0"/>
    <w:rsid w:val="00D73203"/>
    <w:rsid w:val="00D73FF7"/>
    <w:rsid w:val="00D74BE4"/>
    <w:rsid w:val="00D763D1"/>
    <w:rsid w:val="00D778FB"/>
    <w:rsid w:val="00D77B1D"/>
    <w:rsid w:val="00D8021F"/>
    <w:rsid w:val="00D80383"/>
    <w:rsid w:val="00D80DB3"/>
    <w:rsid w:val="00D823C6"/>
    <w:rsid w:val="00D8327F"/>
    <w:rsid w:val="00D8375C"/>
    <w:rsid w:val="00D8425A"/>
    <w:rsid w:val="00D866EC"/>
    <w:rsid w:val="00D86CA3"/>
    <w:rsid w:val="00D870FD"/>
    <w:rsid w:val="00D871CE"/>
    <w:rsid w:val="00D87605"/>
    <w:rsid w:val="00D9196D"/>
    <w:rsid w:val="00D92982"/>
    <w:rsid w:val="00D93361"/>
    <w:rsid w:val="00D93E9D"/>
    <w:rsid w:val="00D9442B"/>
    <w:rsid w:val="00D9494B"/>
    <w:rsid w:val="00DA305E"/>
    <w:rsid w:val="00DA379D"/>
    <w:rsid w:val="00DA5417"/>
    <w:rsid w:val="00DA56E8"/>
    <w:rsid w:val="00DA6AED"/>
    <w:rsid w:val="00DB00FC"/>
    <w:rsid w:val="00DB0A9F"/>
    <w:rsid w:val="00DB0B11"/>
    <w:rsid w:val="00DB15F2"/>
    <w:rsid w:val="00DB377D"/>
    <w:rsid w:val="00DB468F"/>
    <w:rsid w:val="00DB5049"/>
    <w:rsid w:val="00DC29C1"/>
    <w:rsid w:val="00DC2B52"/>
    <w:rsid w:val="00DC2D36"/>
    <w:rsid w:val="00DC53EF"/>
    <w:rsid w:val="00DC60E5"/>
    <w:rsid w:val="00DC7397"/>
    <w:rsid w:val="00DD0753"/>
    <w:rsid w:val="00DD0E50"/>
    <w:rsid w:val="00DD1606"/>
    <w:rsid w:val="00DD4871"/>
    <w:rsid w:val="00DE5608"/>
    <w:rsid w:val="00DE58D0"/>
    <w:rsid w:val="00DE654F"/>
    <w:rsid w:val="00DF0B6E"/>
    <w:rsid w:val="00DF15E0"/>
    <w:rsid w:val="00DF37A0"/>
    <w:rsid w:val="00DF46F0"/>
    <w:rsid w:val="00DF52E7"/>
    <w:rsid w:val="00DF6C0B"/>
    <w:rsid w:val="00E00B13"/>
    <w:rsid w:val="00E024AC"/>
    <w:rsid w:val="00E031E1"/>
    <w:rsid w:val="00E049C8"/>
    <w:rsid w:val="00E07423"/>
    <w:rsid w:val="00E0797F"/>
    <w:rsid w:val="00E110E7"/>
    <w:rsid w:val="00E1112C"/>
    <w:rsid w:val="00E11B20"/>
    <w:rsid w:val="00E1406C"/>
    <w:rsid w:val="00E17FA2"/>
    <w:rsid w:val="00E20561"/>
    <w:rsid w:val="00E20698"/>
    <w:rsid w:val="00E20ED3"/>
    <w:rsid w:val="00E21034"/>
    <w:rsid w:val="00E210A0"/>
    <w:rsid w:val="00E22330"/>
    <w:rsid w:val="00E244FB"/>
    <w:rsid w:val="00E2672B"/>
    <w:rsid w:val="00E27FB4"/>
    <w:rsid w:val="00E30B5A"/>
    <w:rsid w:val="00E3123D"/>
    <w:rsid w:val="00E31461"/>
    <w:rsid w:val="00E31D43"/>
    <w:rsid w:val="00E32608"/>
    <w:rsid w:val="00E34188"/>
    <w:rsid w:val="00E34B6E"/>
    <w:rsid w:val="00E35559"/>
    <w:rsid w:val="00E37222"/>
    <w:rsid w:val="00E3723A"/>
    <w:rsid w:val="00E37342"/>
    <w:rsid w:val="00E37860"/>
    <w:rsid w:val="00E43DA9"/>
    <w:rsid w:val="00E446F1"/>
    <w:rsid w:val="00E452BE"/>
    <w:rsid w:val="00E46886"/>
    <w:rsid w:val="00E46973"/>
    <w:rsid w:val="00E47AEF"/>
    <w:rsid w:val="00E51A35"/>
    <w:rsid w:val="00E530EB"/>
    <w:rsid w:val="00E53B75"/>
    <w:rsid w:val="00E54E3B"/>
    <w:rsid w:val="00E56926"/>
    <w:rsid w:val="00E57565"/>
    <w:rsid w:val="00E57CDB"/>
    <w:rsid w:val="00E60937"/>
    <w:rsid w:val="00E63838"/>
    <w:rsid w:val="00E64434"/>
    <w:rsid w:val="00E6445A"/>
    <w:rsid w:val="00E668AE"/>
    <w:rsid w:val="00E66F2C"/>
    <w:rsid w:val="00E67C51"/>
    <w:rsid w:val="00E7033A"/>
    <w:rsid w:val="00E70F81"/>
    <w:rsid w:val="00E7186A"/>
    <w:rsid w:val="00E7255D"/>
    <w:rsid w:val="00E72781"/>
    <w:rsid w:val="00E72EFC"/>
    <w:rsid w:val="00E758EC"/>
    <w:rsid w:val="00E81EAD"/>
    <w:rsid w:val="00E820F5"/>
    <w:rsid w:val="00E8234C"/>
    <w:rsid w:val="00E834EC"/>
    <w:rsid w:val="00E836E4"/>
    <w:rsid w:val="00E83AA9"/>
    <w:rsid w:val="00E83DC1"/>
    <w:rsid w:val="00E85928"/>
    <w:rsid w:val="00E87158"/>
    <w:rsid w:val="00E87345"/>
    <w:rsid w:val="00E87822"/>
    <w:rsid w:val="00E90395"/>
    <w:rsid w:val="00E90E49"/>
    <w:rsid w:val="00E917F9"/>
    <w:rsid w:val="00E91F89"/>
    <w:rsid w:val="00E9291C"/>
    <w:rsid w:val="00E93FFE"/>
    <w:rsid w:val="00E941B0"/>
    <w:rsid w:val="00E943B1"/>
    <w:rsid w:val="00E94F8A"/>
    <w:rsid w:val="00E976B2"/>
    <w:rsid w:val="00EA1065"/>
    <w:rsid w:val="00EA2B9B"/>
    <w:rsid w:val="00EA3592"/>
    <w:rsid w:val="00EA5A74"/>
    <w:rsid w:val="00EA7A41"/>
    <w:rsid w:val="00EB0311"/>
    <w:rsid w:val="00EB077B"/>
    <w:rsid w:val="00EB1194"/>
    <w:rsid w:val="00EB26A7"/>
    <w:rsid w:val="00EB44B9"/>
    <w:rsid w:val="00EB4EA2"/>
    <w:rsid w:val="00EB7237"/>
    <w:rsid w:val="00EC24D5"/>
    <w:rsid w:val="00EC2580"/>
    <w:rsid w:val="00EC26FC"/>
    <w:rsid w:val="00EC27C6"/>
    <w:rsid w:val="00EC2A9F"/>
    <w:rsid w:val="00EC4207"/>
    <w:rsid w:val="00EC5653"/>
    <w:rsid w:val="00EC71CE"/>
    <w:rsid w:val="00EC7D85"/>
    <w:rsid w:val="00EC7F54"/>
    <w:rsid w:val="00ED1006"/>
    <w:rsid w:val="00ED1D1B"/>
    <w:rsid w:val="00ED4B2D"/>
    <w:rsid w:val="00EE29F1"/>
    <w:rsid w:val="00EE5DC0"/>
    <w:rsid w:val="00EE7D57"/>
    <w:rsid w:val="00EE7DE6"/>
    <w:rsid w:val="00EF1779"/>
    <w:rsid w:val="00EF18FE"/>
    <w:rsid w:val="00EF2BCF"/>
    <w:rsid w:val="00EF5787"/>
    <w:rsid w:val="00EF60D0"/>
    <w:rsid w:val="00EF62E5"/>
    <w:rsid w:val="00F02084"/>
    <w:rsid w:val="00F025FC"/>
    <w:rsid w:val="00F039CA"/>
    <w:rsid w:val="00F0528D"/>
    <w:rsid w:val="00F06ABE"/>
    <w:rsid w:val="00F06C67"/>
    <w:rsid w:val="00F06DFD"/>
    <w:rsid w:val="00F071D1"/>
    <w:rsid w:val="00F073CC"/>
    <w:rsid w:val="00F07533"/>
    <w:rsid w:val="00F079A8"/>
    <w:rsid w:val="00F10629"/>
    <w:rsid w:val="00F1270F"/>
    <w:rsid w:val="00F1384C"/>
    <w:rsid w:val="00F15FA5"/>
    <w:rsid w:val="00F1700F"/>
    <w:rsid w:val="00F17D44"/>
    <w:rsid w:val="00F200F1"/>
    <w:rsid w:val="00F209B7"/>
    <w:rsid w:val="00F20A52"/>
    <w:rsid w:val="00F2376F"/>
    <w:rsid w:val="00F241F4"/>
    <w:rsid w:val="00F243D8"/>
    <w:rsid w:val="00F27A47"/>
    <w:rsid w:val="00F27DEE"/>
    <w:rsid w:val="00F30828"/>
    <w:rsid w:val="00F313D6"/>
    <w:rsid w:val="00F40F0C"/>
    <w:rsid w:val="00F41B0E"/>
    <w:rsid w:val="00F42D98"/>
    <w:rsid w:val="00F44B29"/>
    <w:rsid w:val="00F45DB3"/>
    <w:rsid w:val="00F4766C"/>
    <w:rsid w:val="00F5060E"/>
    <w:rsid w:val="00F507D1"/>
    <w:rsid w:val="00F519CE"/>
    <w:rsid w:val="00F51ADA"/>
    <w:rsid w:val="00F5312A"/>
    <w:rsid w:val="00F53A68"/>
    <w:rsid w:val="00F55BCB"/>
    <w:rsid w:val="00F55E69"/>
    <w:rsid w:val="00F60203"/>
    <w:rsid w:val="00F6073B"/>
    <w:rsid w:val="00F607C5"/>
    <w:rsid w:val="00F60B55"/>
    <w:rsid w:val="00F60DEA"/>
    <w:rsid w:val="00F62A1E"/>
    <w:rsid w:val="00F6302A"/>
    <w:rsid w:val="00F6332C"/>
    <w:rsid w:val="00F63950"/>
    <w:rsid w:val="00F64B2B"/>
    <w:rsid w:val="00F64C2B"/>
    <w:rsid w:val="00F651BE"/>
    <w:rsid w:val="00F65973"/>
    <w:rsid w:val="00F67F53"/>
    <w:rsid w:val="00F703BE"/>
    <w:rsid w:val="00F71F69"/>
    <w:rsid w:val="00F72A04"/>
    <w:rsid w:val="00F72B72"/>
    <w:rsid w:val="00F72BAB"/>
    <w:rsid w:val="00F7491D"/>
    <w:rsid w:val="00F74BB9"/>
    <w:rsid w:val="00F75582"/>
    <w:rsid w:val="00F76EFA"/>
    <w:rsid w:val="00F76F19"/>
    <w:rsid w:val="00F7728E"/>
    <w:rsid w:val="00F804BE"/>
    <w:rsid w:val="00F817CE"/>
    <w:rsid w:val="00F8456C"/>
    <w:rsid w:val="00F859D8"/>
    <w:rsid w:val="00F868F5"/>
    <w:rsid w:val="00F9043F"/>
    <w:rsid w:val="00F9056A"/>
    <w:rsid w:val="00F90F8D"/>
    <w:rsid w:val="00F9174A"/>
    <w:rsid w:val="00F92728"/>
    <w:rsid w:val="00F92782"/>
    <w:rsid w:val="00F927F7"/>
    <w:rsid w:val="00F92DBA"/>
    <w:rsid w:val="00F93AA9"/>
    <w:rsid w:val="00F9633F"/>
    <w:rsid w:val="00F96985"/>
    <w:rsid w:val="00F97838"/>
    <w:rsid w:val="00FA199C"/>
    <w:rsid w:val="00FA2BB3"/>
    <w:rsid w:val="00FA3438"/>
    <w:rsid w:val="00FA3689"/>
    <w:rsid w:val="00FA4F31"/>
    <w:rsid w:val="00FB29AC"/>
    <w:rsid w:val="00FB2AD9"/>
    <w:rsid w:val="00FB2BC9"/>
    <w:rsid w:val="00FB3C77"/>
    <w:rsid w:val="00FB4C80"/>
    <w:rsid w:val="00FB547C"/>
    <w:rsid w:val="00FB6A6A"/>
    <w:rsid w:val="00FB7FD0"/>
    <w:rsid w:val="00FC7429"/>
    <w:rsid w:val="00FC796E"/>
    <w:rsid w:val="00FC7CAD"/>
    <w:rsid w:val="00FD07F6"/>
    <w:rsid w:val="00FD0884"/>
    <w:rsid w:val="00FD1EC8"/>
    <w:rsid w:val="00FD47ED"/>
    <w:rsid w:val="00FD536A"/>
    <w:rsid w:val="00FD5792"/>
    <w:rsid w:val="00FD6FC3"/>
    <w:rsid w:val="00FD70EB"/>
    <w:rsid w:val="00FD74DB"/>
    <w:rsid w:val="00FD7660"/>
    <w:rsid w:val="00FE0655"/>
    <w:rsid w:val="00FE2365"/>
    <w:rsid w:val="00FE37D7"/>
    <w:rsid w:val="00FE44CF"/>
    <w:rsid w:val="00FE4C7B"/>
    <w:rsid w:val="00FE7336"/>
    <w:rsid w:val="00FE787C"/>
    <w:rsid w:val="00FF0788"/>
    <w:rsid w:val="00FF0A1B"/>
    <w:rsid w:val="00FF0E60"/>
    <w:rsid w:val="00FF4579"/>
    <w:rsid w:val="00FF45A5"/>
    <w:rsid w:val="00FF5C91"/>
    <w:rsid w:val="00FF7242"/>
    <w:rsid w:val="00FF7A1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00D41A"/>
  <w15:chartTrackingRefBased/>
  <w15:docId w15:val="{1E7CE0EB-2E97-4AF4-A26A-F6943A979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52B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0214"/>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Char">
    <w:name w:val="B1 Char"/>
    <w:qFormat/>
    <w:locked/>
    <w:rsid w:val="004B3DD8"/>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327380">
      <w:bodyDiv w:val="1"/>
      <w:marLeft w:val="0"/>
      <w:marRight w:val="0"/>
      <w:marTop w:val="0"/>
      <w:marBottom w:val="0"/>
      <w:divBdr>
        <w:top w:val="none" w:sz="0" w:space="0" w:color="auto"/>
        <w:left w:val="none" w:sz="0" w:space="0" w:color="auto"/>
        <w:bottom w:val="none" w:sz="0" w:space="0" w:color="auto"/>
        <w:right w:val="none" w:sz="0" w:space="0" w:color="auto"/>
      </w:divBdr>
    </w:div>
    <w:div w:id="483663622">
      <w:bodyDiv w:val="1"/>
      <w:marLeft w:val="0"/>
      <w:marRight w:val="0"/>
      <w:marTop w:val="0"/>
      <w:marBottom w:val="0"/>
      <w:divBdr>
        <w:top w:val="none" w:sz="0" w:space="0" w:color="auto"/>
        <w:left w:val="none" w:sz="0" w:space="0" w:color="auto"/>
        <w:bottom w:val="none" w:sz="0" w:space="0" w:color="auto"/>
        <w:right w:val="none" w:sz="0" w:space="0" w:color="auto"/>
      </w:divBdr>
      <w:divsChild>
        <w:div w:id="7294714">
          <w:marLeft w:val="576"/>
          <w:marRight w:val="0"/>
          <w:marTop w:val="160"/>
          <w:marBottom w:val="0"/>
          <w:divBdr>
            <w:top w:val="none" w:sz="0" w:space="0" w:color="auto"/>
            <w:left w:val="none" w:sz="0" w:space="0" w:color="auto"/>
            <w:bottom w:val="none" w:sz="0" w:space="0" w:color="auto"/>
            <w:right w:val="none" w:sz="0" w:space="0" w:color="auto"/>
          </w:divBdr>
        </w:div>
        <w:div w:id="36051182">
          <w:marLeft w:val="576"/>
          <w:marRight w:val="0"/>
          <w:marTop w:val="160"/>
          <w:marBottom w:val="0"/>
          <w:divBdr>
            <w:top w:val="none" w:sz="0" w:space="0" w:color="auto"/>
            <w:left w:val="none" w:sz="0" w:space="0" w:color="auto"/>
            <w:bottom w:val="none" w:sz="0" w:space="0" w:color="auto"/>
            <w:right w:val="none" w:sz="0" w:space="0" w:color="auto"/>
          </w:divBdr>
        </w:div>
        <w:div w:id="186602498">
          <w:marLeft w:val="576"/>
          <w:marRight w:val="0"/>
          <w:marTop w:val="160"/>
          <w:marBottom w:val="0"/>
          <w:divBdr>
            <w:top w:val="none" w:sz="0" w:space="0" w:color="auto"/>
            <w:left w:val="none" w:sz="0" w:space="0" w:color="auto"/>
            <w:bottom w:val="none" w:sz="0" w:space="0" w:color="auto"/>
            <w:right w:val="none" w:sz="0" w:space="0" w:color="auto"/>
          </w:divBdr>
        </w:div>
        <w:div w:id="285619164">
          <w:marLeft w:val="576"/>
          <w:marRight w:val="0"/>
          <w:marTop w:val="160"/>
          <w:marBottom w:val="0"/>
          <w:divBdr>
            <w:top w:val="none" w:sz="0" w:space="0" w:color="auto"/>
            <w:left w:val="none" w:sz="0" w:space="0" w:color="auto"/>
            <w:bottom w:val="none" w:sz="0" w:space="0" w:color="auto"/>
            <w:right w:val="none" w:sz="0" w:space="0" w:color="auto"/>
          </w:divBdr>
        </w:div>
        <w:div w:id="859009111">
          <w:marLeft w:val="576"/>
          <w:marRight w:val="0"/>
          <w:marTop w:val="160"/>
          <w:marBottom w:val="0"/>
          <w:divBdr>
            <w:top w:val="none" w:sz="0" w:space="0" w:color="auto"/>
            <w:left w:val="none" w:sz="0" w:space="0" w:color="auto"/>
            <w:bottom w:val="none" w:sz="0" w:space="0" w:color="auto"/>
            <w:right w:val="none" w:sz="0" w:space="0" w:color="auto"/>
          </w:divBdr>
        </w:div>
        <w:div w:id="886527390">
          <w:marLeft w:val="576"/>
          <w:marRight w:val="0"/>
          <w:marTop w:val="160"/>
          <w:marBottom w:val="0"/>
          <w:divBdr>
            <w:top w:val="none" w:sz="0" w:space="0" w:color="auto"/>
            <w:left w:val="none" w:sz="0" w:space="0" w:color="auto"/>
            <w:bottom w:val="none" w:sz="0" w:space="0" w:color="auto"/>
            <w:right w:val="none" w:sz="0" w:space="0" w:color="auto"/>
          </w:divBdr>
        </w:div>
        <w:div w:id="887452029">
          <w:marLeft w:val="850"/>
          <w:marRight w:val="0"/>
          <w:marTop w:val="160"/>
          <w:marBottom w:val="0"/>
          <w:divBdr>
            <w:top w:val="none" w:sz="0" w:space="0" w:color="auto"/>
            <w:left w:val="none" w:sz="0" w:space="0" w:color="auto"/>
            <w:bottom w:val="none" w:sz="0" w:space="0" w:color="auto"/>
            <w:right w:val="none" w:sz="0" w:space="0" w:color="auto"/>
          </w:divBdr>
        </w:div>
        <w:div w:id="1415854156">
          <w:marLeft w:val="576"/>
          <w:marRight w:val="0"/>
          <w:marTop w:val="160"/>
          <w:marBottom w:val="0"/>
          <w:divBdr>
            <w:top w:val="none" w:sz="0" w:space="0" w:color="auto"/>
            <w:left w:val="none" w:sz="0" w:space="0" w:color="auto"/>
            <w:bottom w:val="none" w:sz="0" w:space="0" w:color="auto"/>
            <w:right w:val="none" w:sz="0" w:space="0" w:color="auto"/>
          </w:divBdr>
        </w:div>
        <w:div w:id="1433207218">
          <w:marLeft w:val="576"/>
          <w:marRight w:val="0"/>
          <w:marTop w:val="160"/>
          <w:marBottom w:val="0"/>
          <w:divBdr>
            <w:top w:val="none" w:sz="0" w:space="0" w:color="auto"/>
            <w:left w:val="none" w:sz="0" w:space="0" w:color="auto"/>
            <w:bottom w:val="none" w:sz="0" w:space="0" w:color="auto"/>
            <w:right w:val="none" w:sz="0" w:space="0" w:color="auto"/>
          </w:divBdr>
        </w:div>
        <w:div w:id="1569606066">
          <w:marLeft w:val="850"/>
          <w:marRight w:val="0"/>
          <w:marTop w:val="160"/>
          <w:marBottom w:val="0"/>
          <w:divBdr>
            <w:top w:val="none" w:sz="0" w:space="0" w:color="auto"/>
            <w:left w:val="none" w:sz="0" w:space="0" w:color="auto"/>
            <w:bottom w:val="none" w:sz="0" w:space="0" w:color="auto"/>
            <w:right w:val="none" w:sz="0" w:space="0" w:color="auto"/>
          </w:divBdr>
        </w:div>
      </w:divsChild>
    </w:div>
    <w:div w:id="700132012">
      <w:bodyDiv w:val="1"/>
      <w:marLeft w:val="0"/>
      <w:marRight w:val="0"/>
      <w:marTop w:val="0"/>
      <w:marBottom w:val="0"/>
      <w:divBdr>
        <w:top w:val="none" w:sz="0" w:space="0" w:color="auto"/>
        <w:left w:val="none" w:sz="0" w:space="0" w:color="auto"/>
        <w:bottom w:val="none" w:sz="0" w:space="0" w:color="auto"/>
        <w:right w:val="none" w:sz="0" w:space="0" w:color="auto"/>
      </w:divBdr>
      <w:divsChild>
        <w:div w:id="1329675740">
          <w:marLeft w:val="850"/>
          <w:marRight w:val="0"/>
          <w:marTop w:val="160"/>
          <w:marBottom w:val="0"/>
          <w:divBdr>
            <w:top w:val="none" w:sz="0" w:space="0" w:color="auto"/>
            <w:left w:val="none" w:sz="0" w:space="0" w:color="auto"/>
            <w:bottom w:val="none" w:sz="0" w:space="0" w:color="auto"/>
            <w:right w:val="none" w:sz="0" w:space="0" w:color="auto"/>
          </w:divBdr>
        </w:div>
        <w:div w:id="1894271340">
          <w:marLeft w:val="850"/>
          <w:marRight w:val="0"/>
          <w:marTop w:val="160"/>
          <w:marBottom w:val="0"/>
          <w:divBdr>
            <w:top w:val="none" w:sz="0" w:space="0" w:color="auto"/>
            <w:left w:val="none" w:sz="0" w:space="0" w:color="auto"/>
            <w:bottom w:val="none" w:sz="0" w:space="0" w:color="auto"/>
            <w:right w:val="none" w:sz="0" w:space="0" w:color="auto"/>
          </w:divBdr>
        </w:div>
      </w:divsChild>
    </w:div>
    <w:div w:id="892234097">
      <w:bodyDiv w:val="1"/>
      <w:marLeft w:val="0"/>
      <w:marRight w:val="0"/>
      <w:marTop w:val="0"/>
      <w:marBottom w:val="0"/>
      <w:divBdr>
        <w:top w:val="none" w:sz="0" w:space="0" w:color="auto"/>
        <w:left w:val="none" w:sz="0" w:space="0" w:color="auto"/>
        <w:bottom w:val="none" w:sz="0" w:space="0" w:color="auto"/>
        <w:right w:val="none" w:sz="0" w:space="0" w:color="auto"/>
      </w:divBdr>
    </w:div>
    <w:div w:id="898244122">
      <w:bodyDiv w:val="1"/>
      <w:marLeft w:val="0"/>
      <w:marRight w:val="0"/>
      <w:marTop w:val="0"/>
      <w:marBottom w:val="0"/>
      <w:divBdr>
        <w:top w:val="none" w:sz="0" w:space="0" w:color="auto"/>
        <w:left w:val="none" w:sz="0" w:space="0" w:color="auto"/>
        <w:bottom w:val="none" w:sz="0" w:space="0" w:color="auto"/>
        <w:right w:val="none" w:sz="0" w:space="0" w:color="auto"/>
      </w:divBdr>
    </w:div>
    <w:div w:id="974143082">
      <w:bodyDiv w:val="1"/>
      <w:marLeft w:val="0"/>
      <w:marRight w:val="0"/>
      <w:marTop w:val="0"/>
      <w:marBottom w:val="0"/>
      <w:divBdr>
        <w:top w:val="none" w:sz="0" w:space="0" w:color="auto"/>
        <w:left w:val="none" w:sz="0" w:space="0" w:color="auto"/>
        <w:bottom w:val="none" w:sz="0" w:space="0" w:color="auto"/>
        <w:right w:val="none" w:sz="0" w:space="0" w:color="auto"/>
      </w:divBdr>
      <w:divsChild>
        <w:div w:id="983389420">
          <w:marLeft w:val="576"/>
          <w:marRight w:val="0"/>
          <w:marTop w:val="160"/>
          <w:marBottom w:val="0"/>
          <w:divBdr>
            <w:top w:val="none" w:sz="0" w:space="0" w:color="auto"/>
            <w:left w:val="none" w:sz="0" w:space="0" w:color="auto"/>
            <w:bottom w:val="none" w:sz="0" w:space="0" w:color="auto"/>
            <w:right w:val="none" w:sz="0" w:space="0" w:color="auto"/>
          </w:divBdr>
        </w:div>
        <w:div w:id="1012951646">
          <w:marLeft w:val="850"/>
          <w:marRight w:val="0"/>
          <w:marTop w:val="160"/>
          <w:marBottom w:val="0"/>
          <w:divBdr>
            <w:top w:val="none" w:sz="0" w:space="0" w:color="auto"/>
            <w:left w:val="none" w:sz="0" w:space="0" w:color="auto"/>
            <w:bottom w:val="none" w:sz="0" w:space="0" w:color="auto"/>
            <w:right w:val="none" w:sz="0" w:space="0" w:color="auto"/>
          </w:divBdr>
        </w:div>
        <w:div w:id="1550989476">
          <w:marLeft w:val="850"/>
          <w:marRight w:val="0"/>
          <w:marTop w:val="160"/>
          <w:marBottom w:val="0"/>
          <w:divBdr>
            <w:top w:val="none" w:sz="0" w:space="0" w:color="auto"/>
            <w:left w:val="none" w:sz="0" w:space="0" w:color="auto"/>
            <w:bottom w:val="none" w:sz="0" w:space="0" w:color="auto"/>
            <w:right w:val="none" w:sz="0" w:space="0" w:color="auto"/>
          </w:divBdr>
        </w:div>
        <w:div w:id="1675376495">
          <w:marLeft w:val="1138"/>
          <w:marRight w:val="0"/>
          <w:marTop w:val="160"/>
          <w:marBottom w:val="0"/>
          <w:divBdr>
            <w:top w:val="none" w:sz="0" w:space="0" w:color="auto"/>
            <w:left w:val="none" w:sz="0" w:space="0" w:color="auto"/>
            <w:bottom w:val="none" w:sz="0" w:space="0" w:color="auto"/>
            <w:right w:val="none" w:sz="0" w:space="0" w:color="auto"/>
          </w:divBdr>
        </w:div>
        <w:div w:id="1902590579">
          <w:marLeft w:val="576"/>
          <w:marRight w:val="0"/>
          <w:marTop w:val="160"/>
          <w:marBottom w:val="0"/>
          <w:divBdr>
            <w:top w:val="none" w:sz="0" w:space="0" w:color="auto"/>
            <w:left w:val="none" w:sz="0" w:space="0" w:color="auto"/>
            <w:bottom w:val="none" w:sz="0" w:space="0" w:color="auto"/>
            <w:right w:val="none" w:sz="0" w:space="0" w:color="auto"/>
          </w:divBdr>
        </w:div>
        <w:div w:id="1946233790">
          <w:marLeft w:val="576"/>
          <w:marRight w:val="0"/>
          <w:marTop w:val="160"/>
          <w:marBottom w:val="0"/>
          <w:divBdr>
            <w:top w:val="none" w:sz="0" w:space="0" w:color="auto"/>
            <w:left w:val="none" w:sz="0" w:space="0" w:color="auto"/>
            <w:bottom w:val="none" w:sz="0" w:space="0" w:color="auto"/>
            <w:right w:val="none" w:sz="0" w:space="0" w:color="auto"/>
          </w:divBdr>
        </w:div>
      </w:divsChild>
    </w:div>
    <w:div w:id="1085414643">
      <w:bodyDiv w:val="1"/>
      <w:marLeft w:val="0"/>
      <w:marRight w:val="0"/>
      <w:marTop w:val="0"/>
      <w:marBottom w:val="0"/>
      <w:divBdr>
        <w:top w:val="none" w:sz="0" w:space="0" w:color="auto"/>
        <w:left w:val="none" w:sz="0" w:space="0" w:color="auto"/>
        <w:bottom w:val="none" w:sz="0" w:space="0" w:color="auto"/>
        <w:right w:val="none" w:sz="0" w:space="0" w:color="auto"/>
      </w:divBdr>
    </w:div>
    <w:div w:id="1188788027">
      <w:bodyDiv w:val="1"/>
      <w:marLeft w:val="0"/>
      <w:marRight w:val="0"/>
      <w:marTop w:val="0"/>
      <w:marBottom w:val="0"/>
      <w:divBdr>
        <w:top w:val="none" w:sz="0" w:space="0" w:color="auto"/>
        <w:left w:val="none" w:sz="0" w:space="0" w:color="auto"/>
        <w:bottom w:val="none" w:sz="0" w:space="0" w:color="auto"/>
        <w:right w:val="none" w:sz="0" w:space="0" w:color="auto"/>
      </w:divBdr>
      <w:divsChild>
        <w:div w:id="981498774">
          <w:marLeft w:val="850"/>
          <w:marRight w:val="0"/>
          <w:marTop w:val="160"/>
          <w:marBottom w:val="0"/>
          <w:divBdr>
            <w:top w:val="none" w:sz="0" w:space="0" w:color="auto"/>
            <w:left w:val="none" w:sz="0" w:space="0" w:color="auto"/>
            <w:bottom w:val="none" w:sz="0" w:space="0" w:color="auto"/>
            <w:right w:val="none" w:sz="0" w:space="0" w:color="auto"/>
          </w:divBdr>
        </w:div>
        <w:div w:id="1639534316">
          <w:marLeft w:val="850"/>
          <w:marRight w:val="0"/>
          <w:marTop w:val="160"/>
          <w:marBottom w:val="0"/>
          <w:divBdr>
            <w:top w:val="none" w:sz="0" w:space="0" w:color="auto"/>
            <w:left w:val="none" w:sz="0" w:space="0" w:color="auto"/>
            <w:bottom w:val="none" w:sz="0" w:space="0" w:color="auto"/>
            <w:right w:val="none" w:sz="0" w:space="0" w:color="auto"/>
          </w:divBdr>
        </w:div>
      </w:divsChild>
    </w:div>
    <w:div w:id="1242914488">
      <w:bodyDiv w:val="1"/>
      <w:marLeft w:val="0"/>
      <w:marRight w:val="0"/>
      <w:marTop w:val="0"/>
      <w:marBottom w:val="0"/>
      <w:divBdr>
        <w:top w:val="none" w:sz="0" w:space="0" w:color="auto"/>
        <w:left w:val="none" w:sz="0" w:space="0" w:color="auto"/>
        <w:bottom w:val="none" w:sz="0" w:space="0" w:color="auto"/>
        <w:right w:val="none" w:sz="0" w:space="0" w:color="auto"/>
      </w:divBdr>
      <w:divsChild>
        <w:div w:id="578366394">
          <w:marLeft w:val="850"/>
          <w:marRight w:val="0"/>
          <w:marTop w:val="160"/>
          <w:marBottom w:val="0"/>
          <w:divBdr>
            <w:top w:val="none" w:sz="0" w:space="0" w:color="auto"/>
            <w:left w:val="none" w:sz="0" w:space="0" w:color="auto"/>
            <w:bottom w:val="none" w:sz="0" w:space="0" w:color="auto"/>
            <w:right w:val="none" w:sz="0" w:space="0" w:color="auto"/>
          </w:divBdr>
        </w:div>
        <w:div w:id="997222931">
          <w:marLeft w:val="1138"/>
          <w:marRight w:val="0"/>
          <w:marTop w:val="160"/>
          <w:marBottom w:val="0"/>
          <w:divBdr>
            <w:top w:val="none" w:sz="0" w:space="0" w:color="auto"/>
            <w:left w:val="none" w:sz="0" w:space="0" w:color="auto"/>
            <w:bottom w:val="none" w:sz="0" w:space="0" w:color="auto"/>
            <w:right w:val="none" w:sz="0" w:space="0" w:color="auto"/>
          </w:divBdr>
        </w:div>
        <w:div w:id="1628390960">
          <w:marLeft w:val="1138"/>
          <w:marRight w:val="0"/>
          <w:marTop w:val="160"/>
          <w:marBottom w:val="0"/>
          <w:divBdr>
            <w:top w:val="none" w:sz="0" w:space="0" w:color="auto"/>
            <w:left w:val="none" w:sz="0" w:space="0" w:color="auto"/>
            <w:bottom w:val="none" w:sz="0" w:space="0" w:color="auto"/>
            <w:right w:val="none" w:sz="0" w:space="0" w:color="auto"/>
          </w:divBdr>
        </w:div>
        <w:div w:id="1909150106">
          <w:marLeft w:val="850"/>
          <w:marRight w:val="0"/>
          <w:marTop w:val="160"/>
          <w:marBottom w:val="0"/>
          <w:divBdr>
            <w:top w:val="none" w:sz="0" w:space="0" w:color="auto"/>
            <w:left w:val="none" w:sz="0" w:space="0" w:color="auto"/>
            <w:bottom w:val="none" w:sz="0" w:space="0" w:color="auto"/>
            <w:right w:val="none" w:sz="0" w:space="0" w:color="auto"/>
          </w:divBdr>
        </w:div>
        <w:div w:id="2017612473">
          <w:marLeft w:val="850"/>
          <w:marRight w:val="0"/>
          <w:marTop w:val="160"/>
          <w:marBottom w:val="0"/>
          <w:divBdr>
            <w:top w:val="none" w:sz="0" w:space="0" w:color="auto"/>
            <w:left w:val="none" w:sz="0" w:space="0" w:color="auto"/>
            <w:bottom w:val="none" w:sz="0" w:space="0" w:color="auto"/>
            <w:right w:val="none" w:sz="0" w:space="0" w:color="auto"/>
          </w:divBdr>
        </w:div>
      </w:divsChild>
    </w:div>
    <w:div w:id="1596553960">
      <w:bodyDiv w:val="1"/>
      <w:marLeft w:val="0"/>
      <w:marRight w:val="0"/>
      <w:marTop w:val="0"/>
      <w:marBottom w:val="0"/>
      <w:divBdr>
        <w:top w:val="none" w:sz="0" w:space="0" w:color="auto"/>
        <w:left w:val="none" w:sz="0" w:space="0" w:color="auto"/>
        <w:bottom w:val="none" w:sz="0" w:space="0" w:color="auto"/>
        <w:right w:val="none" w:sz="0" w:space="0" w:color="auto"/>
      </w:divBdr>
      <w:divsChild>
        <w:div w:id="79909737">
          <w:marLeft w:val="576"/>
          <w:marRight w:val="0"/>
          <w:marTop w:val="160"/>
          <w:marBottom w:val="0"/>
          <w:divBdr>
            <w:top w:val="none" w:sz="0" w:space="0" w:color="auto"/>
            <w:left w:val="none" w:sz="0" w:space="0" w:color="auto"/>
            <w:bottom w:val="none" w:sz="0" w:space="0" w:color="auto"/>
            <w:right w:val="none" w:sz="0" w:space="0" w:color="auto"/>
          </w:divBdr>
        </w:div>
        <w:div w:id="253515398">
          <w:marLeft w:val="288"/>
          <w:marRight w:val="0"/>
          <w:marTop w:val="160"/>
          <w:marBottom w:val="0"/>
          <w:divBdr>
            <w:top w:val="none" w:sz="0" w:space="0" w:color="auto"/>
            <w:left w:val="none" w:sz="0" w:space="0" w:color="auto"/>
            <w:bottom w:val="none" w:sz="0" w:space="0" w:color="auto"/>
            <w:right w:val="none" w:sz="0" w:space="0" w:color="auto"/>
          </w:divBdr>
        </w:div>
        <w:div w:id="436563912">
          <w:marLeft w:val="1138"/>
          <w:marRight w:val="0"/>
          <w:marTop w:val="160"/>
          <w:marBottom w:val="0"/>
          <w:divBdr>
            <w:top w:val="none" w:sz="0" w:space="0" w:color="auto"/>
            <w:left w:val="none" w:sz="0" w:space="0" w:color="auto"/>
            <w:bottom w:val="none" w:sz="0" w:space="0" w:color="auto"/>
            <w:right w:val="none" w:sz="0" w:space="0" w:color="auto"/>
          </w:divBdr>
        </w:div>
        <w:div w:id="639968092">
          <w:marLeft w:val="576"/>
          <w:marRight w:val="0"/>
          <w:marTop w:val="160"/>
          <w:marBottom w:val="0"/>
          <w:divBdr>
            <w:top w:val="none" w:sz="0" w:space="0" w:color="auto"/>
            <w:left w:val="none" w:sz="0" w:space="0" w:color="auto"/>
            <w:bottom w:val="none" w:sz="0" w:space="0" w:color="auto"/>
            <w:right w:val="none" w:sz="0" w:space="0" w:color="auto"/>
          </w:divBdr>
        </w:div>
        <w:div w:id="798492729">
          <w:marLeft w:val="576"/>
          <w:marRight w:val="0"/>
          <w:marTop w:val="160"/>
          <w:marBottom w:val="0"/>
          <w:divBdr>
            <w:top w:val="none" w:sz="0" w:space="0" w:color="auto"/>
            <w:left w:val="none" w:sz="0" w:space="0" w:color="auto"/>
            <w:bottom w:val="none" w:sz="0" w:space="0" w:color="auto"/>
            <w:right w:val="none" w:sz="0" w:space="0" w:color="auto"/>
          </w:divBdr>
        </w:div>
        <w:div w:id="884173383">
          <w:marLeft w:val="850"/>
          <w:marRight w:val="0"/>
          <w:marTop w:val="160"/>
          <w:marBottom w:val="0"/>
          <w:divBdr>
            <w:top w:val="none" w:sz="0" w:space="0" w:color="auto"/>
            <w:left w:val="none" w:sz="0" w:space="0" w:color="auto"/>
            <w:bottom w:val="none" w:sz="0" w:space="0" w:color="auto"/>
            <w:right w:val="none" w:sz="0" w:space="0" w:color="auto"/>
          </w:divBdr>
        </w:div>
        <w:div w:id="984165685">
          <w:marLeft w:val="576"/>
          <w:marRight w:val="0"/>
          <w:marTop w:val="160"/>
          <w:marBottom w:val="0"/>
          <w:divBdr>
            <w:top w:val="none" w:sz="0" w:space="0" w:color="auto"/>
            <w:left w:val="none" w:sz="0" w:space="0" w:color="auto"/>
            <w:bottom w:val="none" w:sz="0" w:space="0" w:color="auto"/>
            <w:right w:val="none" w:sz="0" w:space="0" w:color="auto"/>
          </w:divBdr>
        </w:div>
        <w:div w:id="1379664136">
          <w:marLeft w:val="850"/>
          <w:marRight w:val="0"/>
          <w:marTop w:val="160"/>
          <w:marBottom w:val="0"/>
          <w:divBdr>
            <w:top w:val="none" w:sz="0" w:space="0" w:color="auto"/>
            <w:left w:val="none" w:sz="0" w:space="0" w:color="auto"/>
            <w:bottom w:val="none" w:sz="0" w:space="0" w:color="auto"/>
            <w:right w:val="none" w:sz="0" w:space="0" w:color="auto"/>
          </w:divBdr>
        </w:div>
        <w:div w:id="1819346954">
          <w:marLeft w:val="576"/>
          <w:marRight w:val="0"/>
          <w:marTop w:val="160"/>
          <w:marBottom w:val="0"/>
          <w:divBdr>
            <w:top w:val="none" w:sz="0" w:space="0" w:color="auto"/>
            <w:left w:val="none" w:sz="0" w:space="0" w:color="auto"/>
            <w:bottom w:val="none" w:sz="0" w:space="0" w:color="auto"/>
            <w:right w:val="none" w:sz="0" w:space="0" w:color="auto"/>
          </w:divBdr>
        </w:div>
        <w:div w:id="1845512026">
          <w:marLeft w:val="288"/>
          <w:marRight w:val="0"/>
          <w:marTop w:val="160"/>
          <w:marBottom w:val="0"/>
          <w:divBdr>
            <w:top w:val="none" w:sz="0" w:space="0" w:color="auto"/>
            <w:left w:val="none" w:sz="0" w:space="0" w:color="auto"/>
            <w:bottom w:val="none" w:sz="0" w:space="0" w:color="auto"/>
            <w:right w:val="none" w:sz="0" w:space="0" w:color="auto"/>
          </w:divBdr>
        </w:div>
      </w:divsChild>
    </w:div>
    <w:div w:id="1598517890">
      <w:bodyDiv w:val="1"/>
      <w:marLeft w:val="0"/>
      <w:marRight w:val="0"/>
      <w:marTop w:val="0"/>
      <w:marBottom w:val="0"/>
      <w:divBdr>
        <w:top w:val="none" w:sz="0" w:space="0" w:color="auto"/>
        <w:left w:val="none" w:sz="0" w:space="0" w:color="auto"/>
        <w:bottom w:val="none" w:sz="0" w:space="0" w:color="auto"/>
        <w:right w:val="none" w:sz="0" w:space="0" w:color="auto"/>
      </w:divBdr>
    </w:div>
    <w:div w:id="1825773982">
      <w:bodyDiv w:val="1"/>
      <w:marLeft w:val="0"/>
      <w:marRight w:val="0"/>
      <w:marTop w:val="0"/>
      <w:marBottom w:val="0"/>
      <w:divBdr>
        <w:top w:val="none" w:sz="0" w:space="0" w:color="auto"/>
        <w:left w:val="none" w:sz="0" w:space="0" w:color="auto"/>
        <w:bottom w:val="none" w:sz="0" w:space="0" w:color="auto"/>
        <w:right w:val="none" w:sz="0" w:space="0" w:color="auto"/>
      </w:divBdr>
      <w:divsChild>
        <w:div w:id="150292217">
          <w:marLeft w:val="576"/>
          <w:marRight w:val="0"/>
          <w:marTop w:val="160"/>
          <w:marBottom w:val="0"/>
          <w:divBdr>
            <w:top w:val="none" w:sz="0" w:space="0" w:color="auto"/>
            <w:left w:val="none" w:sz="0" w:space="0" w:color="auto"/>
            <w:bottom w:val="none" w:sz="0" w:space="0" w:color="auto"/>
            <w:right w:val="none" w:sz="0" w:space="0" w:color="auto"/>
          </w:divBdr>
        </w:div>
        <w:div w:id="601259565">
          <w:marLeft w:val="576"/>
          <w:marRight w:val="0"/>
          <w:marTop w:val="160"/>
          <w:marBottom w:val="0"/>
          <w:divBdr>
            <w:top w:val="none" w:sz="0" w:space="0" w:color="auto"/>
            <w:left w:val="none" w:sz="0" w:space="0" w:color="auto"/>
            <w:bottom w:val="none" w:sz="0" w:space="0" w:color="auto"/>
            <w:right w:val="none" w:sz="0" w:space="0" w:color="auto"/>
          </w:divBdr>
        </w:div>
        <w:div w:id="1290890878">
          <w:marLeft w:val="288"/>
          <w:marRight w:val="0"/>
          <w:marTop w:val="160"/>
          <w:marBottom w:val="0"/>
          <w:divBdr>
            <w:top w:val="none" w:sz="0" w:space="0" w:color="auto"/>
            <w:left w:val="none" w:sz="0" w:space="0" w:color="auto"/>
            <w:bottom w:val="none" w:sz="0" w:space="0" w:color="auto"/>
            <w:right w:val="none" w:sz="0" w:space="0" w:color="auto"/>
          </w:divBdr>
        </w:div>
        <w:div w:id="1342047460">
          <w:marLeft w:val="288"/>
          <w:marRight w:val="0"/>
          <w:marTop w:val="160"/>
          <w:marBottom w:val="0"/>
          <w:divBdr>
            <w:top w:val="none" w:sz="0" w:space="0" w:color="auto"/>
            <w:left w:val="none" w:sz="0" w:space="0" w:color="auto"/>
            <w:bottom w:val="none" w:sz="0" w:space="0" w:color="auto"/>
            <w:right w:val="none" w:sz="0" w:space="0" w:color="auto"/>
          </w:divBdr>
        </w:div>
        <w:div w:id="1525483998">
          <w:marLeft w:val="850"/>
          <w:marRight w:val="0"/>
          <w:marTop w:val="160"/>
          <w:marBottom w:val="0"/>
          <w:divBdr>
            <w:top w:val="none" w:sz="0" w:space="0" w:color="auto"/>
            <w:left w:val="none" w:sz="0" w:space="0" w:color="auto"/>
            <w:bottom w:val="none" w:sz="0" w:space="0" w:color="auto"/>
            <w:right w:val="none" w:sz="0" w:space="0" w:color="auto"/>
          </w:divBdr>
        </w:div>
        <w:div w:id="1810781467">
          <w:marLeft w:val="576"/>
          <w:marRight w:val="0"/>
          <w:marTop w:val="160"/>
          <w:marBottom w:val="0"/>
          <w:divBdr>
            <w:top w:val="none" w:sz="0" w:space="0" w:color="auto"/>
            <w:left w:val="none" w:sz="0" w:space="0" w:color="auto"/>
            <w:bottom w:val="none" w:sz="0" w:space="0" w:color="auto"/>
            <w:right w:val="none" w:sz="0" w:space="0" w:color="auto"/>
          </w:divBdr>
        </w:div>
        <w:div w:id="1930193043">
          <w:marLeft w:val="576"/>
          <w:marRight w:val="0"/>
          <w:marTop w:val="160"/>
          <w:marBottom w:val="0"/>
          <w:divBdr>
            <w:top w:val="none" w:sz="0" w:space="0" w:color="auto"/>
            <w:left w:val="none" w:sz="0" w:space="0" w:color="auto"/>
            <w:bottom w:val="none" w:sz="0" w:space="0" w:color="auto"/>
            <w:right w:val="none" w:sz="0" w:space="0" w:color="auto"/>
          </w:divBdr>
        </w:div>
        <w:div w:id="1997176565">
          <w:marLeft w:val="576"/>
          <w:marRight w:val="0"/>
          <w:marTop w:val="160"/>
          <w:marBottom w:val="0"/>
          <w:divBdr>
            <w:top w:val="none" w:sz="0" w:space="0" w:color="auto"/>
            <w:left w:val="none" w:sz="0" w:space="0" w:color="auto"/>
            <w:bottom w:val="none" w:sz="0" w:space="0" w:color="auto"/>
            <w:right w:val="none" w:sz="0" w:space="0" w:color="auto"/>
          </w:divBdr>
        </w:div>
      </w:divsChild>
    </w:div>
    <w:div w:id="2127654089">
      <w:bodyDiv w:val="1"/>
      <w:marLeft w:val="0"/>
      <w:marRight w:val="0"/>
      <w:marTop w:val="0"/>
      <w:marBottom w:val="0"/>
      <w:divBdr>
        <w:top w:val="none" w:sz="0" w:space="0" w:color="auto"/>
        <w:left w:val="none" w:sz="0" w:space="0" w:color="auto"/>
        <w:bottom w:val="none" w:sz="0" w:space="0" w:color="auto"/>
        <w:right w:val="none" w:sz="0" w:space="0" w:color="auto"/>
      </w:divBdr>
      <w:divsChild>
        <w:div w:id="653528685">
          <w:marLeft w:val="576"/>
          <w:marRight w:val="0"/>
          <w:marTop w:val="160"/>
          <w:marBottom w:val="0"/>
          <w:divBdr>
            <w:top w:val="none" w:sz="0" w:space="0" w:color="auto"/>
            <w:left w:val="none" w:sz="0" w:space="0" w:color="auto"/>
            <w:bottom w:val="none" w:sz="0" w:space="0" w:color="auto"/>
            <w:right w:val="none" w:sz="0" w:space="0" w:color="auto"/>
          </w:divBdr>
        </w:div>
        <w:div w:id="1558977553">
          <w:marLeft w:val="576"/>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ieudo\Desktop\RAN1-100\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E4B1670B-ECC2-4A3A-BDD7-1683755B61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4FA866-363B-4E1E-BA1D-9B6FA1511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TotalTime>
  <Pages>3</Pages>
  <Words>1388</Words>
  <Characters>7359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8730</CharactersWithSpaces>
  <SharedDoc>false</SharedDoc>
  <HLinks>
    <vt:vector size="198" baseType="variant">
      <vt:variant>
        <vt:i4>1048629</vt:i4>
      </vt:variant>
      <vt:variant>
        <vt:i4>104</vt:i4>
      </vt:variant>
      <vt:variant>
        <vt:i4>0</vt:i4>
      </vt:variant>
      <vt:variant>
        <vt:i4>5</vt:i4>
      </vt:variant>
      <vt:variant>
        <vt:lpwstr/>
      </vt:variant>
      <vt:variant>
        <vt:lpwstr>_Toc59472861</vt:lpwstr>
      </vt:variant>
      <vt:variant>
        <vt:i4>1114165</vt:i4>
      </vt:variant>
      <vt:variant>
        <vt:i4>101</vt:i4>
      </vt:variant>
      <vt:variant>
        <vt:i4>0</vt:i4>
      </vt:variant>
      <vt:variant>
        <vt:i4>5</vt:i4>
      </vt:variant>
      <vt:variant>
        <vt:lpwstr/>
      </vt:variant>
      <vt:variant>
        <vt:lpwstr>_Toc59472860</vt:lpwstr>
      </vt:variant>
      <vt:variant>
        <vt:i4>1572918</vt:i4>
      </vt:variant>
      <vt:variant>
        <vt:i4>98</vt:i4>
      </vt:variant>
      <vt:variant>
        <vt:i4>0</vt:i4>
      </vt:variant>
      <vt:variant>
        <vt:i4>5</vt:i4>
      </vt:variant>
      <vt:variant>
        <vt:lpwstr/>
      </vt:variant>
      <vt:variant>
        <vt:lpwstr>_Toc59472859</vt:lpwstr>
      </vt:variant>
      <vt:variant>
        <vt:i4>1638454</vt:i4>
      </vt:variant>
      <vt:variant>
        <vt:i4>95</vt:i4>
      </vt:variant>
      <vt:variant>
        <vt:i4>0</vt:i4>
      </vt:variant>
      <vt:variant>
        <vt:i4>5</vt:i4>
      </vt:variant>
      <vt:variant>
        <vt:lpwstr/>
      </vt:variant>
      <vt:variant>
        <vt:lpwstr>_Toc59472858</vt:lpwstr>
      </vt:variant>
      <vt:variant>
        <vt:i4>1441846</vt:i4>
      </vt:variant>
      <vt:variant>
        <vt:i4>92</vt:i4>
      </vt:variant>
      <vt:variant>
        <vt:i4>0</vt:i4>
      </vt:variant>
      <vt:variant>
        <vt:i4>5</vt:i4>
      </vt:variant>
      <vt:variant>
        <vt:lpwstr/>
      </vt:variant>
      <vt:variant>
        <vt:lpwstr>_Toc59472857</vt:lpwstr>
      </vt:variant>
      <vt:variant>
        <vt:i4>1507382</vt:i4>
      </vt:variant>
      <vt:variant>
        <vt:i4>89</vt:i4>
      </vt:variant>
      <vt:variant>
        <vt:i4>0</vt:i4>
      </vt:variant>
      <vt:variant>
        <vt:i4>5</vt:i4>
      </vt:variant>
      <vt:variant>
        <vt:lpwstr/>
      </vt:variant>
      <vt:variant>
        <vt:lpwstr>_Toc59472856</vt:lpwstr>
      </vt:variant>
      <vt:variant>
        <vt:i4>1310774</vt:i4>
      </vt:variant>
      <vt:variant>
        <vt:i4>86</vt:i4>
      </vt:variant>
      <vt:variant>
        <vt:i4>0</vt:i4>
      </vt:variant>
      <vt:variant>
        <vt:i4>5</vt:i4>
      </vt:variant>
      <vt:variant>
        <vt:lpwstr/>
      </vt:variant>
      <vt:variant>
        <vt:lpwstr>_Toc59472855</vt:lpwstr>
      </vt:variant>
      <vt:variant>
        <vt:i4>1376310</vt:i4>
      </vt:variant>
      <vt:variant>
        <vt:i4>83</vt:i4>
      </vt:variant>
      <vt:variant>
        <vt:i4>0</vt:i4>
      </vt:variant>
      <vt:variant>
        <vt:i4>5</vt:i4>
      </vt:variant>
      <vt:variant>
        <vt:lpwstr/>
      </vt:variant>
      <vt:variant>
        <vt:lpwstr>_Toc59472854</vt:lpwstr>
      </vt:variant>
      <vt:variant>
        <vt:i4>1179702</vt:i4>
      </vt:variant>
      <vt:variant>
        <vt:i4>80</vt:i4>
      </vt:variant>
      <vt:variant>
        <vt:i4>0</vt:i4>
      </vt:variant>
      <vt:variant>
        <vt:i4>5</vt:i4>
      </vt:variant>
      <vt:variant>
        <vt:lpwstr/>
      </vt:variant>
      <vt:variant>
        <vt:lpwstr>_Toc59472853</vt:lpwstr>
      </vt:variant>
      <vt:variant>
        <vt:i4>1245238</vt:i4>
      </vt:variant>
      <vt:variant>
        <vt:i4>77</vt:i4>
      </vt:variant>
      <vt:variant>
        <vt:i4>0</vt:i4>
      </vt:variant>
      <vt:variant>
        <vt:i4>5</vt:i4>
      </vt:variant>
      <vt:variant>
        <vt:lpwstr/>
      </vt:variant>
      <vt:variant>
        <vt:lpwstr>_Toc59472852</vt:lpwstr>
      </vt:variant>
      <vt:variant>
        <vt:i4>1048630</vt:i4>
      </vt:variant>
      <vt:variant>
        <vt:i4>74</vt:i4>
      </vt:variant>
      <vt:variant>
        <vt:i4>0</vt:i4>
      </vt:variant>
      <vt:variant>
        <vt:i4>5</vt:i4>
      </vt:variant>
      <vt:variant>
        <vt:lpwstr/>
      </vt:variant>
      <vt:variant>
        <vt:lpwstr>_Toc59472851</vt:lpwstr>
      </vt:variant>
      <vt:variant>
        <vt:i4>1114166</vt:i4>
      </vt:variant>
      <vt:variant>
        <vt:i4>71</vt:i4>
      </vt:variant>
      <vt:variant>
        <vt:i4>0</vt:i4>
      </vt:variant>
      <vt:variant>
        <vt:i4>5</vt:i4>
      </vt:variant>
      <vt:variant>
        <vt:lpwstr/>
      </vt:variant>
      <vt:variant>
        <vt:lpwstr>_Toc59472850</vt:lpwstr>
      </vt:variant>
      <vt:variant>
        <vt:i4>1572919</vt:i4>
      </vt:variant>
      <vt:variant>
        <vt:i4>68</vt:i4>
      </vt:variant>
      <vt:variant>
        <vt:i4>0</vt:i4>
      </vt:variant>
      <vt:variant>
        <vt:i4>5</vt:i4>
      </vt:variant>
      <vt:variant>
        <vt:lpwstr/>
      </vt:variant>
      <vt:variant>
        <vt:lpwstr>_Toc59472849</vt:lpwstr>
      </vt:variant>
      <vt:variant>
        <vt:i4>1638455</vt:i4>
      </vt:variant>
      <vt:variant>
        <vt:i4>65</vt:i4>
      </vt:variant>
      <vt:variant>
        <vt:i4>0</vt:i4>
      </vt:variant>
      <vt:variant>
        <vt:i4>5</vt:i4>
      </vt:variant>
      <vt:variant>
        <vt:lpwstr/>
      </vt:variant>
      <vt:variant>
        <vt:lpwstr>_Toc59472848</vt:lpwstr>
      </vt:variant>
      <vt:variant>
        <vt:i4>1441847</vt:i4>
      </vt:variant>
      <vt:variant>
        <vt:i4>62</vt:i4>
      </vt:variant>
      <vt:variant>
        <vt:i4>0</vt:i4>
      </vt:variant>
      <vt:variant>
        <vt:i4>5</vt:i4>
      </vt:variant>
      <vt:variant>
        <vt:lpwstr/>
      </vt:variant>
      <vt:variant>
        <vt:lpwstr>_Toc59472847</vt:lpwstr>
      </vt:variant>
      <vt:variant>
        <vt:i4>1507383</vt:i4>
      </vt:variant>
      <vt:variant>
        <vt:i4>59</vt:i4>
      </vt:variant>
      <vt:variant>
        <vt:i4>0</vt:i4>
      </vt:variant>
      <vt:variant>
        <vt:i4>5</vt:i4>
      </vt:variant>
      <vt:variant>
        <vt:lpwstr/>
      </vt:variant>
      <vt:variant>
        <vt:lpwstr>_Toc59472846</vt:lpwstr>
      </vt:variant>
      <vt:variant>
        <vt:i4>1310775</vt:i4>
      </vt:variant>
      <vt:variant>
        <vt:i4>56</vt:i4>
      </vt:variant>
      <vt:variant>
        <vt:i4>0</vt:i4>
      </vt:variant>
      <vt:variant>
        <vt:i4>5</vt:i4>
      </vt:variant>
      <vt:variant>
        <vt:lpwstr/>
      </vt:variant>
      <vt:variant>
        <vt:lpwstr>_Toc59472845</vt:lpwstr>
      </vt:variant>
      <vt:variant>
        <vt:i4>1376311</vt:i4>
      </vt:variant>
      <vt:variant>
        <vt:i4>53</vt:i4>
      </vt:variant>
      <vt:variant>
        <vt:i4>0</vt:i4>
      </vt:variant>
      <vt:variant>
        <vt:i4>5</vt:i4>
      </vt:variant>
      <vt:variant>
        <vt:lpwstr/>
      </vt:variant>
      <vt:variant>
        <vt:lpwstr>_Toc59472844</vt:lpwstr>
      </vt:variant>
      <vt:variant>
        <vt:i4>1179703</vt:i4>
      </vt:variant>
      <vt:variant>
        <vt:i4>50</vt:i4>
      </vt:variant>
      <vt:variant>
        <vt:i4>0</vt:i4>
      </vt:variant>
      <vt:variant>
        <vt:i4>5</vt:i4>
      </vt:variant>
      <vt:variant>
        <vt:lpwstr/>
      </vt:variant>
      <vt:variant>
        <vt:lpwstr>_Toc59472843</vt:lpwstr>
      </vt:variant>
      <vt:variant>
        <vt:i4>1245239</vt:i4>
      </vt:variant>
      <vt:variant>
        <vt:i4>47</vt:i4>
      </vt:variant>
      <vt:variant>
        <vt:i4>0</vt:i4>
      </vt:variant>
      <vt:variant>
        <vt:i4>5</vt:i4>
      </vt:variant>
      <vt:variant>
        <vt:lpwstr/>
      </vt:variant>
      <vt:variant>
        <vt:lpwstr>_Toc59472842</vt:lpwstr>
      </vt:variant>
      <vt:variant>
        <vt:i4>1048631</vt:i4>
      </vt:variant>
      <vt:variant>
        <vt:i4>44</vt:i4>
      </vt:variant>
      <vt:variant>
        <vt:i4>0</vt:i4>
      </vt:variant>
      <vt:variant>
        <vt:i4>5</vt:i4>
      </vt:variant>
      <vt:variant>
        <vt:lpwstr/>
      </vt:variant>
      <vt:variant>
        <vt:lpwstr>_Toc59472841</vt:lpwstr>
      </vt:variant>
      <vt:variant>
        <vt:i4>1114167</vt:i4>
      </vt:variant>
      <vt:variant>
        <vt:i4>41</vt:i4>
      </vt:variant>
      <vt:variant>
        <vt:i4>0</vt:i4>
      </vt:variant>
      <vt:variant>
        <vt:i4>5</vt:i4>
      </vt:variant>
      <vt:variant>
        <vt:lpwstr/>
      </vt:variant>
      <vt:variant>
        <vt:lpwstr>_Toc59472840</vt:lpwstr>
      </vt:variant>
      <vt:variant>
        <vt:i4>1572912</vt:i4>
      </vt:variant>
      <vt:variant>
        <vt:i4>38</vt:i4>
      </vt:variant>
      <vt:variant>
        <vt:i4>0</vt:i4>
      </vt:variant>
      <vt:variant>
        <vt:i4>5</vt:i4>
      </vt:variant>
      <vt:variant>
        <vt:lpwstr/>
      </vt:variant>
      <vt:variant>
        <vt:lpwstr>_Toc59472839</vt:lpwstr>
      </vt:variant>
      <vt:variant>
        <vt:i4>1638448</vt:i4>
      </vt:variant>
      <vt:variant>
        <vt:i4>35</vt:i4>
      </vt:variant>
      <vt:variant>
        <vt:i4>0</vt:i4>
      </vt:variant>
      <vt:variant>
        <vt:i4>5</vt:i4>
      </vt:variant>
      <vt:variant>
        <vt:lpwstr/>
      </vt:variant>
      <vt:variant>
        <vt:lpwstr>_Toc59472838</vt:lpwstr>
      </vt:variant>
      <vt:variant>
        <vt:i4>1441840</vt:i4>
      </vt:variant>
      <vt:variant>
        <vt:i4>32</vt:i4>
      </vt:variant>
      <vt:variant>
        <vt:i4>0</vt:i4>
      </vt:variant>
      <vt:variant>
        <vt:i4>5</vt:i4>
      </vt:variant>
      <vt:variant>
        <vt:lpwstr/>
      </vt:variant>
      <vt:variant>
        <vt:lpwstr>_Toc59472837</vt:lpwstr>
      </vt:variant>
      <vt:variant>
        <vt:i4>1507376</vt:i4>
      </vt:variant>
      <vt:variant>
        <vt:i4>26</vt:i4>
      </vt:variant>
      <vt:variant>
        <vt:i4>0</vt:i4>
      </vt:variant>
      <vt:variant>
        <vt:i4>5</vt:i4>
      </vt:variant>
      <vt:variant>
        <vt:lpwstr/>
      </vt:variant>
      <vt:variant>
        <vt:lpwstr>_Toc59472836</vt:lpwstr>
      </vt:variant>
      <vt:variant>
        <vt:i4>1310768</vt:i4>
      </vt:variant>
      <vt:variant>
        <vt:i4>23</vt:i4>
      </vt:variant>
      <vt:variant>
        <vt:i4>0</vt:i4>
      </vt:variant>
      <vt:variant>
        <vt:i4>5</vt:i4>
      </vt:variant>
      <vt:variant>
        <vt:lpwstr/>
      </vt:variant>
      <vt:variant>
        <vt:lpwstr>_Toc59472835</vt:lpwstr>
      </vt:variant>
      <vt:variant>
        <vt:i4>1376304</vt:i4>
      </vt:variant>
      <vt:variant>
        <vt:i4>20</vt:i4>
      </vt:variant>
      <vt:variant>
        <vt:i4>0</vt:i4>
      </vt:variant>
      <vt:variant>
        <vt:i4>5</vt:i4>
      </vt:variant>
      <vt:variant>
        <vt:lpwstr/>
      </vt:variant>
      <vt:variant>
        <vt:lpwstr>_Toc59472834</vt:lpwstr>
      </vt:variant>
      <vt:variant>
        <vt:i4>1179696</vt:i4>
      </vt:variant>
      <vt:variant>
        <vt:i4>17</vt:i4>
      </vt:variant>
      <vt:variant>
        <vt:i4>0</vt:i4>
      </vt:variant>
      <vt:variant>
        <vt:i4>5</vt:i4>
      </vt:variant>
      <vt:variant>
        <vt:lpwstr/>
      </vt:variant>
      <vt:variant>
        <vt:lpwstr>_Toc59472833</vt:lpwstr>
      </vt:variant>
      <vt:variant>
        <vt:i4>1245232</vt:i4>
      </vt:variant>
      <vt:variant>
        <vt:i4>14</vt:i4>
      </vt:variant>
      <vt:variant>
        <vt:i4>0</vt:i4>
      </vt:variant>
      <vt:variant>
        <vt:i4>5</vt:i4>
      </vt:variant>
      <vt:variant>
        <vt:lpwstr/>
      </vt:variant>
      <vt:variant>
        <vt:lpwstr>_Toc59472832</vt:lpwstr>
      </vt:variant>
      <vt:variant>
        <vt:i4>1048624</vt:i4>
      </vt:variant>
      <vt:variant>
        <vt:i4>11</vt:i4>
      </vt:variant>
      <vt:variant>
        <vt:i4>0</vt:i4>
      </vt:variant>
      <vt:variant>
        <vt:i4>5</vt:i4>
      </vt:variant>
      <vt:variant>
        <vt:lpwstr/>
      </vt:variant>
      <vt:variant>
        <vt:lpwstr>_Toc59472831</vt:lpwstr>
      </vt:variant>
      <vt:variant>
        <vt:i4>1114160</vt:i4>
      </vt:variant>
      <vt:variant>
        <vt:i4>8</vt:i4>
      </vt:variant>
      <vt:variant>
        <vt:i4>0</vt:i4>
      </vt:variant>
      <vt:variant>
        <vt:i4>5</vt:i4>
      </vt:variant>
      <vt:variant>
        <vt:lpwstr/>
      </vt:variant>
      <vt:variant>
        <vt:lpwstr>_Toc59472830</vt:lpwstr>
      </vt:variant>
      <vt:variant>
        <vt:i4>1572913</vt:i4>
      </vt:variant>
      <vt:variant>
        <vt:i4>5</vt:i4>
      </vt:variant>
      <vt:variant>
        <vt:i4>0</vt:i4>
      </vt:variant>
      <vt:variant>
        <vt:i4>5</vt:i4>
      </vt:variant>
      <vt:variant>
        <vt:lpwstr/>
      </vt:variant>
      <vt:variant>
        <vt:lpwstr>_Toc59472829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Hieu Do</dc:creator>
  <cp:keywords>3GPP; Ericsson; TDoc</cp:keywords>
  <dc:description/>
  <cp:lastModifiedBy>Ericsson</cp:lastModifiedBy>
  <cp:revision>2</cp:revision>
  <cp:lastPrinted>2008-01-31T23:09:00Z</cp:lastPrinted>
  <dcterms:created xsi:type="dcterms:W3CDTF">2021-01-14T14:01:00Z</dcterms:created>
  <dcterms:modified xsi:type="dcterms:W3CDTF">2021-01-14T14:01:00Z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